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906"/>
      </w:tblGrid>
      <w:tr w:rsidR="00C371CD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D" w:rsidRDefault="007748E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371CD" w:rsidRDefault="007748E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10123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940"/>
        <w:gridCol w:w="222"/>
        <w:gridCol w:w="1500"/>
        <w:gridCol w:w="2461"/>
      </w:tblGrid>
      <w:tr w:rsidR="00C371CD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7748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4"/>
              </w:rPr>
            </w:pPr>
          </w:p>
        </w:tc>
        <w:tc>
          <w:tcPr>
            <w:tcW w:w="24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4"/>
              </w:rPr>
            </w:pPr>
          </w:p>
        </w:tc>
      </w:tr>
      <w:tr w:rsidR="00C371CD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4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7748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C371CD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7748E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7748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0503160</w:t>
            </w:r>
          </w:p>
        </w:tc>
      </w:tr>
      <w:tr w:rsidR="00C371CD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7748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января 2024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7748E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7748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01.01.2024</w:t>
            </w:r>
          </w:p>
        </w:tc>
      </w:tr>
      <w:tr w:rsidR="00C371CD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7748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7748E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субъекта бюджетной отчетности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4"/>
              </w:rPr>
            </w:pPr>
          </w:p>
        </w:tc>
      </w:tr>
      <w:tr w:rsidR="00C371CD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7748E9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получатель бюджетных средств, главный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администратор,  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0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0"/>
              </w:rPr>
            </w:pPr>
          </w:p>
        </w:tc>
      </w:tr>
      <w:tr w:rsidR="00C371CD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7748E9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доходов бюджета,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7748E9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7748E9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90694294</w:t>
            </w:r>
          </w:p>
        </w:tc>
      </w:tr>
      <w:tr w:rsidR="00C371CD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7748E9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администратор, администратор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0"/>
              </w:rPr>
            </w:pPr>
          </w:p>
        </w:tc>
      </w:tr>
      <w:tr w:rsidR="00C371CD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7748E9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источников финансирования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0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0"/>
              </w:rPr>
            </w:pPr>
          </w:p>
        </w:tc>
      </w:tr>
      <w:tr w:rsidR="00C371CD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7748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ГОСУДАРСТВЕННОЕ БЮДЖЕТНОЕ УЧРЕЖДЕНИЕ ЗДРАВООХРАНЕНИЯ "ПЕНЗЕНСКАЯ РАЙОННАЯ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БОЛЬНИЦА"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  </w:t>
            </w:r>
          </w:p>
          <w:p w:rsidR="00C371CD" w:rsidRDefault="007748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7748E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7748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</w:tr>
      <w:tr w:rsidR="00C371CD">
        <w:trPr>
          <w:trHeight w:val="28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7748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бюджета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4"/>
              </w:rPr>
            </w:pPr>
          </w:p>
        </w:tc>
      </w:tr>
      <w:tr w:rsidR="00C371CD">
        <w:trPr>
          <w:trHeight w:val="21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7748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Бюджет Пензенской области</w:t>
            </w:r>
          </w:p>
          <w:p w:rsidR="00C371CD" w:rsidRDefault="007748E9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7748E9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7748E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56000000</w:t>
            </w:r>
          </w:p>
        </w:tc>
      </w:tr>
      <w:tr w:rsidR="00C371CD">
        <w:trPr>
          <w:trHeight w:val="31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7748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месячная, квартальная, годовая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4"/>
              </w:rPr>
            </w:pPr>
          </w:p>
        </w:tc>
      </w:tr>
      <w:tr w:rsidR="00C371CD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7748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7748E9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 по ОКЕИ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7748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C371CD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4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4"/>
              </w:rPr>
            </w:pPr>
          </w:p>
        </w:tc>
        <w:tc>
          <w:tcPr>
            <w:tcW w:w="24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4"/>
              </w:rPr>
            </w:pPr>
          </w:p>
        </w:tc>
      </w:tr>
      <w:tr w:rsidR="00C371CD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4"/>
              </w:rPr>
            </w:pPr>
          </w:p>
        </w:tc>
      </w:tr>
    </w:tbl>
    <w:p w:rsidR="00C371CD" w:rsidRDefault="007748E9">
      <w:pPr>
        <w:ind w:firstLine="700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       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Раздел 1 «Организационная структура субъекта бюджетной отчетности»</w:t>
      </w:r>
    </w:p>
    <w:p w:rsidR="00C371CD" w:rsidRDefault="007748E9">
      <w:pPr>
        <w:ind w:firstLine="700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 </w:t>
      </w:r>
    </w:p>
    <w:p w:rsidR="00C371CD" w:rsidRDefault="007748E9">
      <w:pPr>
        <w:ind w:firstLine="700"/>
        <w:jc w:val="center"/>
        <w:rPr>
          <w:color w:val="000000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Наименования видов выплат по публичным нормативным обязательствам (ПНО) в отчетном периоде и их установленный размер</w:t>
      </w:r>
    </w:p>
    <w:tbl>
      <w:tblPr>
        <w:tblW w:w="9945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675"/>
        <w:gridCol w:w="1582"/>
        <w:gridCol w:w="6688"/>
      </w:tblGrid>
      <w:tr w:rsidR="00C371CD">
        <w:trPr>
          <w:trHeight w:val="681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Наименование вида выплат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Установленный размер выплаты</w:t>
            </w:r>
          </w:p>
        </w:tc>
        <w:tc>
          <w:tcPr>
            <w:tcW w:w="6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Нормативный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правовой акт Правительства Пензенской области, установивший правила осуществления выплаты</w:t>
            </w:r>
          </w:p>
        </w:tc>
      </w:tr>
      <w:tr w:rsidR="00C371CD">
        <w:trPr>
          <w:trHeight w:val="255"/>
        </w:trPr>
        <w:tc>
          <w:tcPr>
            <w:tcW w:w="1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Ежемесячная денежная компенсация на возмещения расходов по оплате жилого помещения и коммунальных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ind w:left="-60" w:firstLine="6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both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Постановление Правительства Пензенской обл. от 11.01.2011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 3-пП "О Порядке осуществления и финансового обеспечения автономным, бюджетным учреждением Пензенской области полномочий исполнительного органа государственной власти Пензенской области по исполнению публичных обязательств перед физическим лицом, подлежа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щих исполнению в денежной форме, а также об утверждении перечня указанных публичных обязательств" </w:t>
            </w:r>
            <w:proofErr w:type="gramEnd"/>
          </w:p>
        </w:tc>
      </w:tr>
    </w:tbl>
    <w:p w:rsidR="00C371CD" w:rsidRDefault="007748E9">
      <w:pPr>
        <w:ind w:firstLine="70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:rsidR="00C371CD" w:rsidRDefault="007748E9">
      <w:pPr>
        <w:ind w:firstLine="700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Раздел 2 «Результаты деятельности субъекта бюджетной отчетности»</w:t>
      </w:r>
    </w:p>
    <w:p w:rsidR="00C371CD" w:rsidRDefault="007748E9">
      <w:pPr>
        <w:ind w:firstLine="700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 </w:t>
      </w:r>
    </w:p>
    <w:p w:rsidR="00C371CD" w:rsidRDefault="007748E9">
      <w:pPr>
        <w:jc w:val="center"/>
        <w:rPr>
          <w:color w:val="000000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Количество и сумма выплат в отчетном периоде </w:t>
      </w:r>
    </w:p>
    <w:tbl>
      <w:tblPr>
        <w:tblW w:w="9945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113"/>
        <w:gridCol w:w="2575"/>
        <w:gridCol w:w="2129"/>
        <w:gridCol w:w="2128"/>
      </w:tblGrid>
      <w:tr w:rsidR="00C371CD">
        <w:trPr>
          <w:trHeight w:val="681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ind w:left="46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Наименование вида выплат</w:t>
            </w:r>
          </w:p>
        </w:tc>
        <w:tc>
          <w:tcPr>
            <w:tcW w:w="2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Месяц выплаты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Количество получателей выплат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Общая сумма выплат</w:t>
            </w:r>
          </w:p>
        </w:tc>
      </w:tr>
      <w:tr w:rsidR="00C371CD">
        <w:trPr>
          <w:trHeight w:val="255"/>
        </w:trPr>
        <w:tc>
          <w:tcPr>
            <w:tcW w:w="31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Ежемесячная денежная компенсация на возмещения расходов по оплате жилого помещения и коммунальных 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10 200</w:t>
            </w:r>
          </w:p>
        </w:tc>
      </w:tr>
      <w:tr w:rsidR="00C371CD">
        <w:trPr>
          <w:trHeight w:val="255"/>
        </w:trPr>
        <w:tc>
          <w:tcPr>
            <w:tcW w:w="3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C371CD">
            <w:pPr>
              <w:rPr>
                <w:color w:val="00000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24 300</w:t>
            </w:r>
          </w:p>
        </w:tc>
      </w:tr>
      <w:tr w:rsidR="00C371CD">
        <w:trPr>
          <w:trHeight w:val="255"/>
        </w:trPr>
        <w:tc>
          <w:tcPr>
            <w:tcW w:w="3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C371CD">
            <w:pPr>
              <w:rPr>
                <w:color w:val="00000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24 600</w:t>
            </w:r>
          </w:p>
        </w:tc>
      </w:tr>
      <w:tr w:rsidR="00C371CD">
        <w:trPr>
          <w:trHeight w:val="255"/>
        </w:trPr>
        <w:tc>
          <w:tcPr>
            <w:tcW w:w="3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C371CD">
            <w:pPr>
              <w:rPr>
                <w:color w:val="00000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24 900</w:t>
            </w:r>
          </w:p>
        </w:tc>
      </w:tr>
      <w:tr w:rsidR="00C371CD">
        <w:trPr>
          <w:trHeight w:val="255"/>
        </w:trPr>
        <w:tc>
          <w:tcPr>
            <w:tcW w:w="3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C371CD">
            <w:pPr>
              <w:rPr>
                <w:color w:val="00000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22 500</w:t>
            </w:r>
          </w:p>
        </w:tc>
      </w:tr>
      <w:tr w:rsidR="00C371CD">
        <w:trPr>
          <w:trHeight w:val="242"/>
        </w:trPr>
        <w:tc>
          <w:tcPr>
            <w:tcW w:w="3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C371CD">
            <w:pPr>
              <w:rPr>
                <w:color w:val="00000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24 900</w:t>
            </w:r>
          </w:p>
        </w:tc>
      </w:tr>
      <w:tr w:rsidR="00C371CD">
        <w:trPr>
          <w:trHeight w:val="255"/>
        </w:trPr>
        <w:tc>
          <w:tcPr>
            <w:tcW w:w="3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C371CD">
            <w:pPr>
              <w:rPr>
                <w:color w:val="00000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22 800</w:t>
            </w:r>
          </w:p>
        </w:tc>
      </w:tr>
      <w:tr w:rsidR="00C371CD">
        <w:trPr>
          <w:trHeight w:val="255"/>
        </w:trPr>
        <w:tc>
          <w:tcPr>
            <w:tcW w:w="3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C371CD">
            <w:pPr>
              <w:rPr>
                <w:color w:val="00000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22 500</w:t>
            </w:r>
          </w:p>
        </w:tc>
      </w:tr>
      <w:tr w:rsidR="00C371CD">
        <w:trPr>
          <w:trHeight w:val="255"/>
        </w:trPr>
        <w:tc>
          <w:tcPr>
            <w:tcW w:w="3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C371CD">
            <w:pPr>
              <w:rPr>
                <w:color w:val="00000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27 300</w:t>
            </w:r>
          </w:p>
        </w:tc>
      </w:tr>
      <w:tr w:rsidR="00C371CD">
        <w:trPr>
          <w:trHeight w:val="255"/>
        </w:trPr>
        <w:tc>
          <w:tcPr>
            <w:tcW w:w="3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C371CD">
            <w:pPr>
              <w:rPr>
                <w:color w:val="00000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26 700</w:t>
            </w:r>
          </w:p>
        </w:tc>
      </w:tr>
      <w:tr w:rsidR="00C371CD">
        <w:trPr>
          <w:trHeight w:val="255"/>
        </w:trPr>
        <w:tc>
          <w:tcPr>
            <w:tcW w:w="3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C371CD">
            <w:pPr>
              <w:rPr>
                <w:color w:val="00000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25 500</w:t>
            </w:r>
          </w:p>
        </w:tc>
      </w:tr>
      <w:tr w:rsidR="00C371CD">
        <w:trPr>
          <w:trHeight w:val="255"/>
        </w:trPr>
        <w:tc>
          <w:tcPr>
            <w:tcW w:w="3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C371CD">
            <w:pPr>
              <w:rPr>
                <w:color w:val="00000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26 400</w:t>
            </w:r>
          </w:p>
        </w:tc>
      </w:tr>
      <w:tr w:rsidR="00C371CD">
        <w:trPr>
          <w:trHeight w:val="255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282 600</w:t>
            </w:r>
          </w:p>
        </w:tc>
      </w:tr>
    </w:tbl>
    <w:p w:rsidR="00C371CD" w:rsidRDefault="007748E9">
      <w:pPr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:rsidR="00C371CD" w:rsidRDefault="007748E9">
      <w:pPr>
        <w:ind w:firstLine="700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Раздел 3 «Анализ отчета об исполнении бюджета </w:t>
      </w:r>
    </w:p>
    <w:p w:rsidR="00C371CD" w:rsidRDefault="007748E9">
      <w:pPr>
        <w:ind w:firstLine="700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субъектом бюджетной отчетности»</w:t>
      </w:r>
    </w:p>
    <w:p w:rsidR="00C371CD" w:rsidRDefault="007748E9">
      <w:pPr>
        <w:ind w:firstLine="700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 </w:t>
      </w:r>
    </w:p>
    <w:p w:rsidR="00C371CD" w:rsidRDefault="007748E9">
      <w:pPr>
        <w:ind w:firstLine="70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Сведения о причинах неиспользования выделенных бюджетных ассигнований на исполнение расходов по ПНО, если кассовое исполнение составило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менее 95% </w:t>
      </w:r>
      <w:r>
        <w:rPr>
          <w:rFonts w:ascii="Calibri" w:eastAsia="Calibri" w:hAnsi="Calibri" w:cs="Calibri"/>
          <w:color w:val="000000"/>
          <w:sz w:val="26"/>
          <w:szCs w:val="26"/>
        </w:rPr>
        <w:t>от плановых показателей отчетного периода с указанием причин неисполнения:</w:t>
      </w:r>
    </w:p>
    <w:tbl>
      <w:tblPr>
        <w:tblW w:w="9945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675"/>
        <w:gridCol w:w="1582"/>
        <w:gridCol w:w="6688"/>
      </w:tblGrid>
      <w:tr w:rsidR="00C371CD">
        <w:trPr>
          <w:trHeight w:val="681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Наименование вида выплат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 Кассовое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исполнение на отчетную дату,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%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двумя десятичными знаками после запятой</w:t>
            </w:r>
          </w:p>
        </w:tc>
        <w:tc>
          <w:tcPr>
            <w:tcW w:w="6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Пояснение </w:t>
            </w:r>
          </w:p>
        </w:tc>
      </w:tr>
      <w:tr w:rsidR="00C371CD">
        <w:trPr>
          <w:trHeight w:val="255"/>
        </w:trPr>
        <w:tc>
          <w:tcPr>
            <w:tcW w:w="1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Ежемесячная денежная компенсация на возмещения расходов по оплате жилого помещения и коммунальных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ind w:left="-60" w:firstLine="6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96,71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                                     -</w:t>
            </w:r>
          </w:p>
        </w:tc>
      </w:tr>
    </w:tbl>
    <w:p w:rsidR="00C371CD" w:rsidRDefault="007748E9">
      <w:pPr>
        <w:ind w:firstLine="700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 </w:t>
      </w:r>
    </w:p>
    <w:p w:rsidR="00C371CD" w:rsidRDefault="007748E9">
      <w:pPr>
        <w:ind w:firstLine="700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Раздел 4 «Анализ показателей бухгалтерской отчетности </w:t>
      </w:r>
    </w:p>
    <w:p w:rsidR="00C371CD" w:rsidRDefault="007748E9">
      <w:pPr>
        <w:ind w:firstLine="700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субъекта бюджетной отчетности»</w:t>
      </w:r>
    </w:p>
    <w:p w:rsidR="00C371CD" w:rsidRDefault="007748E9">
      <w:pPr>
        <w:ind w:firstLine="700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 </w:t>
      </w:r>
    </w:p>
    <w:p w:rsidR="00C371CD" w:rsidRDefault="007748E9">
      <w:pPr>
        <w:ind w:firstLine="700"/>
        <w:jc w:val="center"/>
        <w:rPr>
          <w:color w:val="000000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Анализ дебиторской и кредиторской задолженности: </w:t>
      </w:r>
    </w:p>
    <w:tbl>
      <w:tblPr>
        <w:tblW w:w="1023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715"/>
        <w:gridCol w:w="1562"/>
        <w:gridCol w:w="2696"/>
        <w:gridCol w:w="4257"/>
      </w:tblGrid>
      <w:tr w:rsidR="00C371CD">
        <w:trPr>
          <w:trHeight w:val="602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Наименование вида выплат*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Общая сумма задолженности на отчетную дату, руб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двумя десятичными знаками после запятой *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Вид задолженности (дебиторская или кредиторская)*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Период образования задолженности в формате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мм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ггг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 причины образования, принимаемые меры*</w:t>
            </w:r>
          </w:p>
        </w:tc>
      </w:tr>
      <w:tr w:rsidR="00C371CD">
        <w:trPr>
          <w:trHeight w:val="255"/>
        </w:trPr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C371CD" w:rsidRDefault="007748E9">
      <w:pPr>
        <w:ind w:firstLine="700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 </w:t>
      </w:r>
    </w:p>
    <w:p w:rsidR="00C371CD" w:rsidRDefault="007748E9">
      <w:pPr>
        <w:ind w:firstLine="700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Раздел 5 «Прочие вопросы деятельности субъекта бюджетной отчетности»</w:t>
      </w:r>
    </w:p>
    <w:p w:rsidR="00C371CD" w:rsidRDefault="007748E9">
      <w:pPr>
        <w:ind w:firstLine="700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 </w:t>
      </w:r>
    </w:p>
    <w:p w:rsidR="00C371CD" w:rsidRDefault="007748E9">
      <w:pPr>
        <w:jc w:val="center"/>
        <w:rPr>
          <w:color w:val="000000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Сведения о допустимых 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предупреждениях при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внутриформенном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межформенном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контроле в ПК «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Свод-</w:t>
      </w: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>WEB</w:t>
      </w:r>
      <w:proofErr w:type="spellEnd"/>
      <w:proofErr w:type="gramEnd"/>
      <w:r>
        <w:rPr>
          <w:rFonts w:ascii="Calibri" w:eastAsia="Calibri" w:hAnsi="Calibri" w:cs="Calibri"/>
          <w:color w:val="000000"/>
          <w:sz w:val="26"/>
          <w:szCs w:val="26"/>
        </w:rPr>
        <w:t>»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5959"/>
      </w:tblGrid>
      <w:tr w:rsidR="00C371CD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Состав предупреждения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D" w:rsidRDefault="007748E9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Пояснение допустимости</w:t>
            </w:r>
          </w:p>
        </w:tc>
      </w:tr>
      <w:tr w:rsidR="00C371CD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D" w:rsidRDefault="007748E9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                         -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CD" w:rsidRDefault="007748E9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                                 -</w:t>
            </w:r>
          </w:p>
        </w:tc>
      </w:tr>
    </w:tbl>
    <w:p w:rsidR="00C371CD" w:rsidRDefault="007748E9">
      <w:pPr>
        <w:rPr>
          <w:color w:val="000000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C371CD" w:rsidRDefault="007748E9">
      <w:r>
        <w:lastRenderedPageBreak/>
        <w:t> </w:t>
      </w:r>
    </w:p>
    <w:p w:rsidR="00C371CD" w:rsidRDefault="007748E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8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102"/>
        <w:gridCol w:w="4089"/>
        <w:gridCol w:w="2619"/>
      </w:tblGrid>
      <w:tr w:rsidR="00C371CD"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Панюхин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Илья Михайлович</w:t>
            </w:r>
          </w:p>
        </w:tc>
      </w:tr>
      <w:tr w:rsidR="00C371CD">
        <w:trPr>
          <w:trHeight w:val="28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4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C371CD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7748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71CD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Земсков Артем Валерьевич</w:t>
            </w:r>
          </w:p>
        </w:tc>
      </w:tr>
      <w:tr w:rsidR="00C371CD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C371CD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C371CD">
            <w:pPr>
              <w:rPr>
                <w:sz w:val="24"/>
              </w:rPr>
            </w:pPr>
          </w:p>
        </w:tc>
      </w:tr>
      <w:tr w:rsidR="00C371CD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  <w:proofErr w:type="gramEnd"/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1CD" w:rsidRDefault="007748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Земскова Людмила Анатольевна</w:t>
            </w:r>
          </w:p>
        </w:tc>
      </w:tr>
      <w:tr w:rsidR="00C371CD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C371CD">
        <w:trPr>
          <w:trHeight w:val="449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7748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"____"   ____________ 20____г.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C371CD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CD" w:rsidRDefault="00C371CD">
            <w:pPr>
              <w:rPr>
                <w:sz w:val="24"/>
              </w:rPr>
            </w:pPr>
          </w:p>
        </w:tc>
      </w:tr>
    </w:tbl>
    <w:p w:rsidR="00C371CD" w:rsidRDefault="007748E9"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 подписан электронной подписью.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Главный бухгалте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Земскова Людмила Анатольевна, Сертификат: 5A139A00720C2268A8645ADA90847A15, Действителен: с 25.01.2023 по 19.04.2024),Руководитель(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Панюхин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Илья Михайлович, Сертификат: 6BBF7414CBA80C056EEBB30CF5729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828, Действителен: с 26.01.2023 по 20.04.2024),Руководитель финансово-экономической службы(Земсков Артем Валерьевич, Сертификат: 00F740971D3201BEC1BEBE77648E62E9C6, Действителен: с 10.01.2023 по 04.04.2024)        </w:t>
      </w:r>
    </w:p>
    <w:sectPr w:rsidR="00C371CD" w:rsidSect="00C371CD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71CD"/>
    <w:rsid w:val="007748E9"/>
    <w:rsid w:val="00C3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C371CD"/>
  </w:style>
  <w:style w:type="character" w:styleId="a3">
    <w:name w:val="Hyperlink"/>
    <w:rsid w:val="00C371CD"/>
    <w:rPr>
      <w:color w:val="0000FF"/>
      <w:u w:val="single"/>
    </w:rPr>
  </w:style>
  <w:style w:type="table" w:styleId="1">
    <w:name w:val="Table Simple 1"/>
    <w:basedOn w:val="a1"/>
    <w:rsid w:val="00C371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2024-02-07T11:56:00Z</dcterms:created>
  <dcterms:modified xsi:type="dcterms:W3CDTF">2024-02-07T11:56:00Z</dcterms:modified>
</cp:coreProperties>
</file>