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B047DF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B047DF" w:rsidRDefault="00EB6A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169"/>
        <w:gridCol w:w="231"/>
        <w:gridCol w:w="1500"/>
        <w:gridCol w:w="1680"/>
      </w:tblGrid>
      <w:tr w:rsidR="00B047DF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</w:tr>
      <w:tr w:rsidR="00B047DF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B047DF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B047DF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октября 2023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01.10.2023</w:t>
            </w:r>
          </w:p>
        </w:tc>
      </w:tr>
      <w:tr w:rsidR="00B047DF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</w:tr>
      <w:tr w:rsidR="00B047DF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0"/>
              </w:rPr>
            </w:pPr>
          </w:p>
        </w:tc>
      </w:tr>
      <w:tr w:rsidR="00B047DF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90694294</w:t>
            </w:r>
          </w:p>
        </w:tc>
      </w:tr>
      <w:tr w:rsidR="00B047DF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0"/>
              </w:rPr>
            </w:pPr>
          </w:p>
        </w:tc>
      </w:tr>
      <w:tr w:rsidR="00B047DF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0"/>
              </w:rPr>
            </w:pPr>
          </w:p>
        </w:tc>
      </w:tr>
      <w:tr w:rsidR="00B047DF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ЗДРАВООХРАНЕНИЯ "ПЕНЗЕНСКАЯ РАЙОННАЯ БОЛЬНИЦА"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B047DF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</w:tr>
      <w:tr w:rsidR="00B047DF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субъекта РФ</w:t>
            </w:r>
          </w:p>
          <w:p w:rsidR="00B047DF" w:rsidRDefault="00EB6A94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56000000</w:t>
            </w:r>
          </w:p>
        </w:tc>
      </w:tr>
      <w:tr w:rsidR="00B047DF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</w:tr>
      <w:tr w:rsidR="00B047DF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B047DF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</w:tr>
      <w:tr w:rsidR="00B047DF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</w:tr>
    </w:tbl>
    <w:p w:rsidR="00B047DF" w:rsidRDefault="00EB6A94">
      <w:pPr>
        <w:ind w:firstLine="700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       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Раздел 1 «Организационная структура субъекта бюджетной отчетности»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color w:val="000000"/>
          <w:sz w:val="26"/>
          <w:szCs w:val="26"/>
        </w:rPr>
        <w:t>Наименования видов выплат по публичным нормативным обязательствам (ПНО) в отчетном периоде и их установленный размер</w:t>
      </w:r>
    </w:p>
    <w:tbl>
      <w:tblPr>
        <w:tblW w:w="9945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1582"/>
        <w:gridCol w:w="6688"/>
      </w:tblGrid>
      <w:tr w:rsidR="00B047DF">
        <w:trPr>
          <w:trHeight w:val="681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Установленный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размер выплаты</w:t>
            </w:r>
          </w:p>
        </w:tc>
        <w:tc>
          <w:tcPr>
            <w:tcW w:w="6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Нормативный правовой акт Правительства Пензенской области, установивший правила осуществления выплаты</w:t>
            </w:r>
          </w:p>
        </w:tc>
      </w:tr>
      <w:tr w:rsidR="00B047DF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Ежемесячная денежная компесанция на возмещения расходов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ind w:left="-60" w:firstLine="6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Постановление Правительства Пе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нзенской обл. от 11.01.2011 N 3-пП "О Порядке осуществления и финансового обеспечения автономным, бюджетным учреждением Пензенской области полномочий исполнительного органа государственной власти Пензенской области по исполнению публичных обязательств пере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д физическим лицом, подлежащих исполнению в денежной форме, а также об утверждении перечня указанных публичных обязательств" </w:t>
            </w:r>
          </w:p>
        </w:tc>
      </w:tr>
    </w:tbl>
    <w:p w:rsidR="00B047DF" w:rsidRDefault="00EB6A94">
      <w:pPr>
        <w:ind w:firstLine="700"/>
        <w:jc w:val="both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Раздел 2 «Результаты деятельности субъекта бюджетной отчетности»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B047DF" w:rsidRDefault="00EB6A94">
      <w:pPr>
        <w:jc w:val="center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Количество и сумма выплат в отчетном периоде </w:t>
      </w:r>
    </w:p>
    <w:tbl>
      <w:tblPr>
        <w:tblW w:w="9945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113"/>
        <w:gridCol w:w="2574"/>
        <w:gridCol w:w="2129"/>
        <w:gridCol w:w="2129"/>
      </w:tblGrid>
      <w:tr w:rsidR="00B047DF">
        <w:trPr>
          <w:trHeight w:val="681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ind w:left="46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вида выплат</w:t>
            </w:r>
          </w:p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Месяц выплаты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Количество получателей выплат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Общая сумма выплат</w:t>
            </w:r>
          </w:p>
        </w:tc>
      </w:tr>
      <w:tr w:rsidR="00B047DF">
        <w:trPr>
          <w:trHeight w:val="255"/>
        </w:trPr>
        <w:tc>
          <w:tcPr>
            <w:tcW w:w="31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Ежемесячная денежная компесанция на возмещения расходов по оплате жилого помещения и коммунальных услуг</w:t>
            </w:r>
          </w:p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</w:t>
            </w:r>
          </w:p>
          <w:p w:rsidR="00B047DF" w:rsidRDefault="00EB6A9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47DF" w:rsidRDefault="00EB6A9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B047DF" w:rsidRDefault="00EB6A9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47DF" w:rsidRDefault="00EB6A9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47DF" w:rsidRDefault="00EB6A9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47DF" w:rsidRDefault="00EB6A9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47DF" w:rsidRDefault="00EB6A9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10 200</w:t>
            </w:r>
          </w:p>
        </w:tc>
      </w:tr>
      <w:tr w:rsidR="00B047DF">
        <w:trPr>
          <w:trHeight w:val="255"/>
        </w:trPr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B047DF"/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 24 300</w:t>
            </w:r>
          </w:p>
        </w:tc>
      </w:tr>
      <w:tr w:rsidR="00B047DF">
        <w:trPr>
          <w:trHeight w:val="300"/>
        </w:trPr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B047DF"/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  24 600</w:t>
            </w:r>
          </w:p>
        </w:tc>
      </w:tr>
      <w:tr w:rsidR="00B047DF">
        <w:trPr>
          <w:trHeight w:val="276"/>
        </w:trPr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B047DF"/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83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 24 900 </w:t>
            </w:r>
          </w:p>
        </w:tc>
      </w:tr>
      <w:tr w:rsidR="00B047DF">
        <w:trPr>
          <w:trHeight w:val="336"/>
        </w:trPr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B047DF"/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75 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22 500 </w:t>
            </w:r>
          </w:p>
        </w:tc>
      </w:tr>
      <w:tr w:rsidR="00B047DF">
        <w:trPr>
          <w:trHeight w:val="336"/>
        </w:trPr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B047DF"/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24 900</w:t>
            </w:r>
          </w:p>
        </w:tc>
      </w:tr>
      <w:tr w:rsidR="00B047DF">
        <w:trPr>
          <w:trHeight w:val="294"/>
        </w:trPr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B047DF"/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22 800</w:t>
            </w:r>
          </w:p>
        </w:tc>
      </w:tr>
      <w:tr w:rsidR="00B047DF">
        <w:trPr>
          <w:trHeight w:val="294"/>
        </w:trPr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B047DF"/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22 500</w:t>
            </w:r>
          </w:p>
        </w:tc>
      </w:tr>
      <w:tr w:rsidR="00B047DF">
        <w:trPr>
          <w:trHeight w:val="335"/>
        </w:trPr>
        <w:tc>
          <w:tcPr>
            <w:tcW w:w="31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B047DF"/>
        </w:tc>
        <w:tc>
          <w:tcPr>
            <w:tcW w:w="2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                       Сентябрь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 27 300</w:t>
            </w:r>
          </w:p>
        </w:tc>
      </w:tr>
      <w:tr w:rsidR="00B047DF">
        <w:trPr>
          <w:trHeight w:val="255"/>
        </w:trPr>
        <w:tc>
          <w:tcPr>
            <w:tcW w:w="31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204 000</w:t>
            </w:r>
          </w:p>
        </w:tc>
      </w:tr>
    </w:tbl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Раздел 3 «Анализ отчета об исполнении бюджета 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субъектом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бюджетной отчетности»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tbl>
      <w:tblPr>
        <w:tblW w:w="9945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1582"/>
        <w:gridCol w:w="6688"/>
      </w:tblGrid>
      <w:tr w:rsidR="00B047DF">
        <w:trPr>
          <w:trHeight w:val="681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Наименование вида выплат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Кассовое исполнение на отчетную дату, в % с двумя десятичными знаками после запятой</w:t>
            </w:r>
          </w:p>
        </w:tc>
        <w:tc>
          <w:tcPr>
            <w:tcW w:w="6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Пояснение </w:t>
            </w:r>
          </w:p>
        </w:tc>
      </w:tr>
      <w:tr w:rsidR="00B047DF">
        <w:trPr>
          <w:trHeight w:val="255"/>
        </w:trPr>
        <w:tc>
          <w:tcPr>
            <w:tcW w:w="1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Ежемесячная денежная компесанция на возмещения расходов по оплате жилого помещения и коммунальных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ind w:left="-60" w:firstLine="60"/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87,63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                                                                                            -</w:t>
            </w:r>
          </w:p>
        </w:tc>
      </w:tr>
    </w:tbl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Раздел 4 «Анализ показателей бухгалтерской отчетности 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субъекта бюджетной отчетности»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Анализ дебиторской и кредиторской задолженности: </w:t>
      </w:r>
    </w:p>
    <w:tbl>
      <w:tblPr>
        <w:tblW w:w="1023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15"/>
        <w:gridCol w:w="1562"/>
        <w:gridCol w:w="2696"/>
        <w:gridCol w:w="4257"/>
      </w:tblGrid>
      <w:tr w:rsidR="00B047DF">
        <w:trPr>
          <w:trHeight w:val="602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Наименование вида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выплат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Общая сумма задолженности на отчетную дату, руб.с двумя десятичными знаками после запятой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Вид задолженности (дебиторская или кредиторская)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Период образования задолженности в формате мм.гггг, причины образования, принимаемые меры</w:t>
            </w:r>
          </w:p>
        </w:tc>
      </w:tr>
      <w:tr w:rsidR="00B047DF">
        <w:trPr>
          <w:trHeight w:val="255"/>
        </w:trPr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Раздел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 «Прочие вопросы деятельности субъекта бюджетной отчетности»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 </w:t>
      </w:r>
    </w:p>
    <w:p w:rsidR="00B047DF" w:rsidRDefault="00EB6A94">
      <w:r>
        <w:rPr>
          <w:rFonts w:ascii="Calibri" w:eastAsia="Calibri" w:hAnsi="Calibri" w:cs="Calibri"/>
          <w:color w:val="000000"/>
        </w:rPr>
        <w:t> </w:t>
      </w:r>
    </w:p>
    <w:p w:rsidR="00B047DF" w:rsidRDefault="00EB6A94">
      <w:pPr>
        <w:ind w:firstLine="700"/>
        <w:jc w:val="center"/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color w:val="000000"/>
          <w:sz w:val="26"/>
          <w:szCs w:val="26"/>
        </w:rPr>
        <w:t>Перечень отчетов, не имеющие числовых и иных показателей</w:t>
      </w:r>
    </w:p>
    <w:tbl>
      <w:tblPr>
        <w:tblW w:w="10215" w:type="dxa"/>
        <w:tblInd w:w="108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270"/>
        <w:gridCol w:w="7945"/>
      </w:tblGrid>
      <w:tr w:rsidR="00B047DF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ind w:firstLine="700"/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формы</w:t>
            </w:r>
          </w:p>
        </w:tc>
      </w:tr>
      <w:tr w:rsidR="00B047DF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0503296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Сведения об исполнении судебных решений по денежным обязательствам бюджета</w:t>
            </w:r>
          </w:p>
        </w:tc>
      </w:tr>
      <w:tr w:rsidR="00B047DF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0503169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Сведения по дебиторской и кредиторской задолженности (БД)</w:t>
            </w:r>
          </w:p>
        </w:tc>
      </w:tr>
    </w:tbl>
    <w:p w:rsidR="00B047DF" w:rsidRDefault="00EB6A94">
      <w:pPr>
        <w:jc w:val="right"/>
      </w:pPr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p w:rsidR="00B047DF" w:rsidRDefault="00EB6A94">
      <w:pPr>
        <w:jc w:val="center"/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 допустимых предупреждениях при внутриформенном и межформенном контроле в ПК «Свод-WEB»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B047DF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Состав предупреждения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B047DF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                           </w:t>
            </w:r>
          </w:p>
          <w:p w:rsidR="00B047DF" w:rsidRDefault="00EB6A94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  Несоответствие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итоговых строк плановых назначений по расходам ф.0503127 и 0503164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7DF" w:rsidRDefault="00EB6A94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Данная ошибка является допустимой ,так как в ф.0503164 стр.200 гр.4 "Доведенные бюджетные данные " подлежит заполнению,а в ф. 0503127 стр.200 гр.5 "Лимиты бюджетных обязательств " не заполн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яется по ПНО бюджетными и автономными учреждениями.</w:t>
            </w:r>
          </w:p>
        </w:tc>
      </w:tr>
    </w:tbl>
    <w:p w:rsidR="00B047DF" w:rsidRDefault="00EB6A94">
      <w:r>
        <w:rPr>
          <w:rFonts w:ascii="Calibri" w:eastAsia="Calibri" w:hAnsi="Calibri" w:cs="Calibri"/>
          <w:color w:val="000000"/>
        </w:rPr>
        <w:t> </w:t>
      </w:r>
    </w:p>
    <w:p w:rsidR="00B047DF" w:rsidRDefault="00B047DF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32"/>
        <w:gridCol w:w="3478"/>
      </w:tblGrid>
      <w:tr w:rsidR="00B047DF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B047DF"/>
        </w:tc>
      </w:tr>
      <w:tr w:rsidR="00B047DF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Панюхин Илья Михайлович</w:t>
            </w:r>
          </w:p>
        </w:tc>
      </w:tr>
      <w:tr w:rsidR="00B047DF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047DF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47DF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Земсков Артем Валерьевич</w:t>
            </w:r>
          </w:p>
        </w:tc>
      </w:tr>
      <w:tr w:rsidR="00B047DF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047DF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B047DF">
            <w:pPr>
              <w:rPr>
                <w:sz w:val="24"/>
              </w:rPr>
            </w:pPr>
          </w:p>
        </w:tc>
      </w:tr>
      <w:tr w:rsidR="00B047DF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Земскова Людмила Анатольевна</w:t>
            </w:r>
          </w:p>
        </w:tc>
      </w:tr>
      <w:tr w:rsidR="00B047DF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7DF" w:rsidRDefault="00EB6A9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047DF" w:rsidRDefault="00EB6A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047DF" w:rsidRDefault="00EB6A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B047DF" w:rsidRDefault="00EB6A94"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подписан электронной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бухгалтер(Земскова Людмила Анатольевна, Сертификат: 5A139A00720C2268A8645ADA90847A15, Действителен: с 25.01.2023 по 19.04.2024),Руководитель(Панюхин Илья Михайлович, Сертификат: 6BBF7414CBA80C056EEBB30CF5729828, Действителен: с 26.01.2023 по 20.04.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2024),Руководитель финансово-экономической службы(Земсков Артем Валерьевич, Сертификат: 00F740971D3201BEC1BEBE77648E62E9C6, Действителен: с 10.01.2023 по 04.04.2024)        </w:t>
      </w:r>
    </w:p>
    <w:sectPr w:rsidR="00B047DF" w:rsidSect="00B047DF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B047DF"/>
    <w:rsid w:val="00B047DF"/>
    <w:rsid w:val="00EB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B047DF"/>
  </w:style>
  <w:style w:type="character" w:styleId="a3">
    <w:name w:val="Hyperlink"/>
    <w:rsid w:val="00B047DF"/>
    <w:rPr>
      <w:color w:val="0000FF"/>
      <w:u w:val="single"/>
    </w:rPr>
  </w:style>
  <w:style w:type="table" w:styleId="1">
    <w:name w:val="Table Simple 1"/>
    <w:basedOn w:val="a1"/>
    <w:rsid w:val="00B047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2023-10-19T07:02:00Z</dcterms:created>
  <dcterms:modified xsi:type="dcterms:W3CDTF">2023-10-19T07:02:00Z</dcterms:modified>
</cp:coreProperties>
</file>