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Отчет ГБУЗ «Пензенская РБ» по диспансеризации за январь-ию</w:t>
      </w:r>
      <w:r>
        <w:rPr>
          <w:rFonts w:eastAsia="Times New Roman" w:ascii="Times New Roman" w:hAnsi="Times New Roman"/>
          <w:b/>
          <w:bCs/>
          <w:sz w:val="28"/>
          <w:szCs w:val="28"/>
        </w:rPr>
        <w:t>ль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2023 года.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диспансеризации на 2023 год составляет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17613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человека. За       </w:t>
      </w:r>
      <w:r>
        <w:rPr>
          <w:rFonts w:eastAsia="Times New Roman" w:ascii="Times New Roman" w:hAnsi="Times New Roman"/>
          <w:sz w:val="28"/>
          <w:szCs w:val="28"/>
        </w:rPr>
        <w:t>7</w:t>
      </w:r>
      <w:r>
        <w:rPr>
          <w:rFonts w:eastAsia="Times New Roman" w:ascii="Times New Roman" w:hAnsi="Times New Roman"/>
          <w:sz w:val="28"/>
          <w:szCs w:val="28"/>
        </w:rPr>
        <w:t xml:space="preserve"> месяцев 2023 года диспансеризацию прошли </w:t>
      </w:r>
      <w:r>
        <w:rPr>
          <w:rFonts w:eastAsia="Times New Roman" w:ascii="Times New Roman" w:hAnsi="Times New Roman"/>
          <w:sz w:val="28"/>
          <w:szCs w:val="28"/>
        </w:rPr>
        <w:t>13545</w:t>
      </w:r>
      <w:r>
        <w:rPr>
          <w:rFonts w:eastAsia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Times New Roman" w:ascii="Times New Roman" w:hAnsi="Times New Roman"/>
          <w:sz w:val="28"/>
          <w:szCs w:val="28"/>
        </w:rPr>
        <w:t>77</w:t>
      </w:r>
      <w:r>
        <w:rPr>
          <w:rFonts w:eastAsia="Times New Roman" w:ascii="Times New Roman" w:hAnsi="Times New Roman"/>
          <w:sz w:val="28"/>
          <w:szCs w:val="28"/>
        </w:rPr>
        <w:t xml:space="preserve"> % от плана), из них:  </w:t>
      </w:r>
      <w:r>
        <w:rPr>
          <w:rFonts w:eastAsia="Times New Roman" w:ascii="Times New Roman" w:hAnsi="Times New Roman"/>
          <w:sz w:val="28"/>
          <w:szCs w:val="28"/>
        </w:rPr>
        <w:t>5236</w:t>
      </w:r>
      <w:r>
        <w:rPr>
          <w:rFonts w:eastAsia="Times New Roman" w:ascii="Times New Roman" w:hAnsi="Times New Roman"/>
          <w:sz w:val="28"/>
          <w:szCs w:val="28"/>
        </w:rPr>
        <w:t xml:space="preserve"> мужчин и </w:t>
      </w:r>
      <w:r>
        <w:rPr>
          <w:rFonts w:eastAsia="Times New Roman" w:ascii="Times New Roman" w:hAnsi="Times New Roman"/>
          <w:sz w:val="28"/>
          <w:szCs w:val="28"/>
        </w:rPr>
        <w:t>8309</w:t>
      </w:r>
      <w:r>
        <w:rPr>
          <w:rFonts w:eastAsia="Times New Roman" w:ascii="Times New Roman" w:hAnsi="Times New Roman"/>
          <w:sz w:val="28"/>
          <w:szCs w:val="28"/>
        </w:rPr>
        <w:t xml:space="preserve">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профилактическим медицинским осмотрам на 2023 год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9053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Профилактические медицинские осмотры за </w:t>
      </w:r>
      <w:r>
        <w:rPr>
          <w:rFonts w:eastAsia="Times New Roman" w:ascii="Times New Roman" w:hAnsi="Times New Roman"/>
          <w:sz w:val="28"/>
          <w:szCs w:val="28"/>
        </w:rPr>
        <w:t>7</w:t>
      </w:r>
      <w:r>
        <w:rPr>
          <w:rFonts w:eastAsia="Times New Roman" w:ascii="Times New Roman" w:hAnsi="Times New Roman"/>
          <w:sz w:val="28"/>
          <w:szCs w:val="28"/>
        </w:rPr>
        <w:t xml:space="preserve"> месяцев 2023года прошли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5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867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человек (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64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от годового плана), из них: 2</w:t>
      </w:r>
      <w:r>
        <w:rPr>
          <w:rFonts w:eastAsia="Times New Roman" w:ascii="Times New Roman" w:hAnsi="Times New Roman"/>
          <w:sz w:val="28"/>
          <w:szCs w:val="28"/>
        </w:rPr>
        <w:t>529</w:t>
      </w:r>
      <w:r>
        <w:rPr>
          <w:rFonts w:eastAsia="Times New Roman" w:ascii="Times New Roman" w:hAnsi="Times New Roman"/>
          <w:sz w:val="28"/>
          <w:szCs w:val="28"/>
        </w:rPr>
        <w:t xml:space="preserve"> мужчин и   </w:t>
      </w:r>
      <w:r>
        <w:rPr>
          <w:rFonts w:eastAsia="Times New Roman" w:ascii="Times New Roman" w:hAnsi="Times New Roman"/>
          <w:sz w:val="28"/>
          <w:szCs w:val="28"/>
        </w:rPr>
        <w:t>3337</w:t>
      </w:r>
      <w:r>
        <w:rPr>
          <w:rFonts w:eastAsia="Times New Roman" w:ascii="Times New Roman" w:hAnsi="Times New Roman"/>
          <w:sz w:val="28"/>
          <w:szCs w:val="28"/>
        </w:rPr>
        <w:t xml:space="preserve">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76</w:t>
      </w:r>
      <w:r>
        <w:rPr>
          <w:rFonts w:eastAsia="Times New Roman" w:ascii="Times New Roman" w:hAnsi="Times New Roman"/>
          <w:sz w:val="28"/>
          <w:szCs w:val="28"/>
        </w:rPr>
        <w:t>2</w:t>
      </w:r>
      <w:r>
        <w:rPr>
          <w:rFonts w:eastAsia="Times New Roman" w:ascii="Times New Roman" w:hAnsi="Times New Roman"/>
          <w:sz w:val="28"/>
          <w:szCs w:val="28"/>
        </w:rPr>
        <w:t>0</w:t>
      </w:r>
      <w:r>
        <w:rPr>
          <w:rFonts w:eastAsia="Times New Roman" w:ascii="Times New Roman" w:hAnsi="Times New Roman"/>
          <w:sz w:val="28"/>
          <w:szCs w:val="28"/>
        </w:rPr>
        <w:t xml:space="preserve"> человек осмотрено мобильными бригадами (</w:t>
      </w:r>
      <w:r>
        <w:rPr>
          <w:rFonts w:eastAsia="Times New Roman" w:ascii="Times New Roman" w:hAnsi="Times New Roman"/>
          <w:sz w:val="28"/>
          <w:szCs w:val="28"/>
        </w:rPr>
        <w:t>22</w:t>
      </w:r>
      <w:r>
        <w:rPr>
          <w:rFonts w:eastAsia="Times New Roman" w:ascii="Times New Roman" w:hAnsi="Times New Roman"/>
          <w:sz w:val="28"/>
          <w:szCs w:val="28"/>
        </w:rPr>
        <w:t>%). Выездными бригадами проведена диспансеризация 4 участникам ВОВ, 3 инвалидам ВОВ, 2 бывшем несовершеннолетним узникам концлагерей, 45 вдовам ветеранов ВОВ, 127 ветеранам ВОВ.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 итогам диспансеризации у  </w:t>
      </w:r>
      <w:r>
        <w:rPr>
          <w:rFonts w:eastAsia="Times New Roman" w:ascii="Times New Roman" w:hAnsi="Times New Roman"/>
          <w:sz w:val="28"/>
          <w:szCs w:val="28"/>
        </w:rPr>
        <w:t>5014</w:t>
      </w:r>
      <w:r>
        <w:rPr>
          <w:rFonts w:eastAsia="Times New Roman" w:ascii="Times New Roman" w:hAnsi="Times New Roman"/>
          <w:sz w:val="28"/>
          <w:szCs w:val="28"/>
        </w:rPr>
        <w:t xml:space="preserve"> человек выявлены отклонения (что составляет 3</w:t>
      </w:r>
      <w:r>
        <w:rPr>
          <w:rFonts w:eastAsia="Times New Roman" w:ascii="Times New Roman" w:hAnsi="Times New Roman"/>
          <w:sz w:val="28"/>
          <w:szCs w:val="28"/>
        </w:rPr>
        <w:t>1</w:t>
      </w:r>
      <w:r>
        <w:rPr>
          <w:rFonts w:eastAsia="Times New Roman" w:ascii="Times New Roman" w:hAnsi="Times New Roman"/>
          <w:sz w:val="28"/>
          <w:szCs w:val="28"/>
        </w:rPr>
        <w:t xml:space="preserve">%), эти пациенты были направлены на второй этап диспансеризации. 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Всего выявлено 4</w:t>
      </w:r>
      <w:r>
        <w:rPr>
          <w:rFonts w:eastAsia="Times New Roman" w:ascii="Times New Roman" w:hAnsi="Times New Roman"/>
          <w:sz w:val="28"/>
          <w:szCs w:val="28"/>
        </w:rPr>
        <w:t>97</w:t>
      </w:r>
      <w:r>
        <w:rPr>
          <w:rFonts w:eastAsia="Times New Roman" w:ascii="Times New Roman" w:hAnsi="Times New Roman"/>
          <w:sz w:val="28"/>
          <w:szCs w:val="28"/>
        </w:rPr>
        <w:t>8</w:t>
      </w:r>
      <w:r>
        <w:rPr>
          <w:rFonts w:eastAsia="Times New Roman" w:ascii="Times New Roman" w:hAnsi="Times New Roman"/>
          <w:sz w:val="28"/>
          <w:szCs w:val="28"/>
        </w:rPr>
        <w:t>1</w:t>
      </w:r>
      <w:r>
        <w:rPr>
          <w:rFonts w:eastAsia="Times New Roman" w:ascii="Times New Roman" w:hAnsi="Times New Roman"/>
          <w:sz w:val="28"/>
          <w:szCs w:val="28"/>
        </w:rPr>
        <w:t xml:space="preserve"> фактор риска развития хронических неинфекционных заболеваний (по 2,5 на человека). Установлено диспансерное наблюдение в отделении профилактики — 2</w:t>
      </w:r>
      <w:r>
        <w:rPr>
          <w:rFonts w:eastAsia="Times New Roman" w:ascii="Times New Roman" w:hAnsi="Times New Roman"/>
          <w:sz w:val="28"/>
          <w:szCs w:val="28"/>
        </w:rPr>
        <w:t>814</w:t>
      </w:r>
      <w:r>
        <w:rPr>
          <w:rFonts w:eastAsia="Times New Roman" w:ascii="Times New Roman" w:hAnsi="Times New Roman"/>
          <w:sz w:val="28"/>
          <w:szCs w:val="28"/>
        </w:rPr>
        <w:t xml:space="preserve"> человек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Всего выявлено заболеваний </w:t>
      </w:r>
      <w:r>
        <w:rPr>
          <w:rFonts w:eastAsia="Times New Roman" w:ascii="Times New Roman" w:hAnsi="Times New Roman"/>
          <w:sz w:val="28"/>
          <w:szCs w:val="28"/>
        </w:rPr>
        <w:t>108</w:t>
      </w:r>
      <w:r>
        <w:rPr>
          <w:rFonts w:eastAsia="Times New Roman" w:ascii="Times New Roman" w:hAnsi="Times New Roman"/>
          <w:sz w:val="28"/>
          <w:szCs w:val="28"/>
        </w:rPr>
        <w:t>46 (по 0,8 на человека).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Из них впервые выявлено 1</w:t>
      </w:r>
      <w:r>
        <w:rPr>
          <w:rFonts w:eastAsia="Times New Roman" w:ascii="Times New Roman" w:hAnsi="Times New Roman"/>
          <w:sz w:val="28"/>
          <w:szCs w:val="28"/>
        </w:rPr>
        <w:t>688</w:t>
      </w:r>
      <w:r>
        <w:rPr>
          <w:rFonts w:eastAsia="Times New Roman" w:ascii="Times New Roman" w:hAnsi="Times New Roman"/>
          <w:sz w:val="28"/>
          <w:szCs w:val="28"/>
        </w:rPr>
        <w:t xml:space="preserve"> заболевания (15%) среди них: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злокачественные новообразования —  2</w:t>
      </w:r>
      <w:r>
        <w:rPr>
          <w:rFonts w:eastAsia="Times New Roman" w:ascii="Times New Roman" w:hAnsi="Times New Roman"/>
          <w:sz w:val="28"/>
          <w:szCs w:val="28"/>
        </w:rPr>
        <w:t>3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сахарный диабет —  8</w:t>
      </w:r>
      <w:r>
        <w:rPr>
          <w:rFonts w:eastAsia="Times New Roman" w:ascii="Times New Roman" w:hAnsi="Times New Roman"/>
          <w:sz w:val="28"/>
          <w:szCs w:val="28"/>
        </w:rPr>
        <w:t>6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системы кровообращения —  1</w:t>
      </w:r>
      <w:r>
        <w:rPr>
          <w:rFonts w:eastAsia="Times New Roman" w:ascii="Times New Roman" w:hAnsi="Times New Roman"/>
          <w:sz w:val="28"/>
          <w:szCs w:val="28"/>
        </w:rPr>
        <w:t>31</w:t>
      </w:r>
      <w:r>
        <w:rPr>
          <w:rFonts w:eastAsia="Times New Roman" w:ascii="Times New Roman" w:hAnsi="Times New Roman"/>
          <w:sz w:val="28"/>
          <w:szCs w:val="28"/>
        </w:rPr>
        <w:t>5;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дыхания — 1</w:t>
      </w:r>
      <w:r>
        <w:rPr>
          <w:rFonts w:eastAsia="Times New Roman" w:ascii="Times New Roman" w:hAnsi="Times New Roman"/>
          <w:sz w:val="28"/>
          <w:szCs w:val="28"/>
        </w:rPr>
        <w:t>4</w:t>
      </w:r>
      <w:r>
        <w:rPr>
          <w:rFonts w:eastAsia="Times New Roman" w:ascii="Times New Roman" w:hAnsi="Times New Roman"/>
          <w:sz w:val="28"/>
          <w:szCs w:val="28"/>
        </w:rPr>
        <w:t>5;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болезни органов пищеварения — </w:t>
      </w:r>
      <w:r>
        <w:rPr>
          <w:rFonts w:eastAsia="Times New Roman" w:ascii="Times New Roman" w:hAnsi="Times New Roman"/>
          <w:sz w:val="28"/>
          <w:szCs w:val="28"/>
        </w:rPr>
        <w:t>211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По результатам выявленных заболеваний 1</w:t>
      </w:r>
      <w:r>
        <w:rPr>
          <w:rFonts w:eastAsia="Times New Roman" w:ascii="Times New Roman" w:hAnsi="Times New Roman"/>
          <w:sz w:val="28"/>
          <w:szCs w:val="28"/>
        </w:rPr>
        <w:t>8</w:t>
      </w:r>
      <w:r>
        <w:rPr>
          <w:rFonts w:eastAsia="Times New Roman" w:ascii="Times New Roman" w:hAnsi="Times New Roman"/>
          <w:sz w:val="28"/>
          <w:szCs w:val="28"/>
        </w:rPr>
        <w:t>78 человек (99%) взяты под диспансерное наблюдение.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1 группа здоровья у 3</w:t>
      </w:r>
      <w:r>
        <w:rPr>
          <w:rFonts w:eastAsia="Times New Roman" w:ascii="Times New Roman" w:hAnsi="Times New Roman"/>
          <w:sz w:val="28"/>
          <w:szCs w:val="28"/>
        </w:rPr>
        <w:t>9</w:t>
      </w:r>
      <w:r>
        <w:rPr>
          <w:rFonts w:eastAsia="Times New Roman" w:ascii="Times New Roman" w:hAnsi="Times New Roman"/>
          <w:sz w:val="28"/>
          <w:szCs w:val="28"/>
        </w:rPr>
        <w:t>34 человек (20%);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2 группа здоровья у 2</w:t>
      </w:r>
      <w:r>
        <w:rPr>
          <w:rFonts w:eastAsia="Times New Roman" w:ascii="Times New Roman" w:hAnsi="Times New Roman"/>
          <w:sz w:val="28"/>
          <w:szCs w:val="28"/>
        </w:rPr>
        <w:t>814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(13%);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3А группа здоровья у </w:t>
      </w:r>
      <w:r>
        <w:rPr>
          <w:rFonts w:eastAsia="Times New Roman" w:ascii="Times New Roman" w:hAnsi="Times New Roman"/>
          <w:sz w:val="28"/>
          <w:szCs w:val="28"/>
        </w:rPr>
        <w:t>111</w:t>
      </w:r>
      <w:r>
        <w:rPr>
          <w:rFonts w:eastAsia="Times New Roman" w:ascii="Times New Roman" w:hAnsi="Times New Roman"/>
          <w:sz w:val="28"/>
          <w:szCs w:val="28"/>
        </w:rPr>
        <w:t>41 человек (52%);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3Б группа здоровья у </w:t>
      </w:r>
      <w:r>
        <w:rPr>
          <w:rFonts w:eastAsia="Times New Roman" w:ascii="Times New Roman" w:hAnsi="Times New Roman"/>
          <w:sz w:val="28"/>
          <w:szCs w:val="28"/>
        </w:rPr>
        <w:t>3</w:t>
      </w:r>
      <w:r>
        <w:rPr>
          <w:rFonts w:eastAsia="Times New Roman" w:ascii="Times New Roman" w:hAnsi="Times New Roman"/>
          <w:sz w:val="28"/>
          <w:szCs w:val="28"/>
        </w:rPr>
        <w:t>608 человек (15%).</w:t>
      </w:r>
    </w:p>
    <w:p>
      <w:pPr>
        <w:pStyle w:val="Normal"/>
        <w:spacing w:lineRule="auto" w:line="240" w:beforeAutospacing="0" w:before="0" w:afterAutospacing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Направлены при наличии медицинских показаний на дополнительное обследование, не входящее в объем диспансеризации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776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человек.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ascii="Times New Roman" w:hAnsi="Times New Roman"/>
          <w:sz w:val="28"/>
          <w:szCs w:val="28"/>
        </w:rPr>
        <w:t xml:space="preserve">План по углубленной диспансеризации для перенесших COVID-19 на 2023 год составляет 4 330 человек. За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месяцев 2023г углубленную диспансеризацию прошли </w:t>
      </w:r>
      <w:r>
        <w:rPr>
          <w:rFonts w:ascii="Times New Roman" w:hAnsi="Times New Roman"/>
          <w:sz w:val="28"/>
          <w:szCs w:val="28"/>
        </w:rPr>
        <w:t>2959</w:t>
      </w:r>
      <w:r>
        <w:rPr>
          <w:rFonts w:ascii="Times New Roman" w:hAnsi="Times New Roman"/>
          <w:sz w:val="28"/>
          <w:szCs w:val="28"/>
        </w:rPr>
        <w:t xml:space="preserve"> человек (6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от плана). По итогам 4</w:t>
      </w:r>
      <w:r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человек были переведены на 2 этап для более детального обследования в связи с выявленными отклонениями от нормы, </w:t>
      </w:r>
      <w:r>
        <w:rPr>
          <w:rFonts w:ascii="Times New Roman" w:hAnsi="Times New Roman"/>
          <w:sz w:val="28"/>
          <w:szCs w:val="28"/>
        </w:rPr>
        <w:t>840</w:t>
      </w:r>
      <w:r>
        <w:rPr>
          <w:rFonts w:ascii="Times New Roman" w:hAnsi="Times New Roman"/>
          <w:sz w:val="28"/>
          <w:szCs w:val="28"/>
        </w:rPr>
        <w:t xml:space="preserve"> человек были направлены на амбулаторное лечение, </w:t>
      </w:r>
      <w:r>
        <w:rPr>
          <w:rFonts w:ascii="Times New Roman" w:hAnsi="Times New Roman"/>
          <w:sz w:val="28"/>
          <w:szCs w:val="28"/>
        </w:rPr>
        <w:t>645</w:t>
      </w:r>
      <w:r>
        <w:rPr>
          <w:rFonts w:ascii="Times New Roman" w:hAnsi="Times New Roman"/>
          <w:sz w:val="28"/>
          <w:szCs w:val="28"/>
        </w:rPr>
        <w:t xml:space="preserve"> человек направлены к узким специалистам.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5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2">
    <w:name w:val="Heading 2"/>
    <w:basedOn w:val="Normal"/>
    <w:next w:val="Style16"/>
    <w:qFormat/>
    <w:rsid w:val="009e35ba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e35ba"/>
    <w:rPr>
      <w:rFonts w:ascii="Symbol" w:hAnsi="Symbol"/>
      <w:sz w:val="20"/>
    </w:rPr>
  </w:style>
  <w:style w:type="character" w:styleId="WW8Num2z1" w:customStyle="1">
    <w:name w:val="WW8Num2z1"/>
    <w:qFormat/>
    <w:rsid w:val="009e35ba"/>
    <w:rPr>
      <w:rFonts w:ascii="Courier New" w:hAnsi="Courier New"/>
      <w:sz w:val="20"/>
    </w:rPr>
  </w:style>
  <w:style w:type="character" w:styleId="WW8Num2z2" w:customStyle="1">
    <w:name w:val="WW8Num2z2"/>
    <w:qFormat/>
    <w:rsid w:val="009e35ba"/>
    <w:rPr>
      <w:rFonts w:ascii="Wingdings" w:hAnsi="Wingdings"/>
      <w:sz w:val="20"/>
    </w:rPr>
  </w:style>
  <w:style w:type="character" w:styleId="WW8Num3z0" w:customStyle="1">
    <w:name w:val="WW8Num3z0"/>
    <w:qFormat/>
    <w:rsid w:val="009e35ba"/>
    <w:rPr>
      <w:rFonts w:ascii="Symbol" w:hAnsi="Symbol"/>
      <w:sz w:val="20"/>
    </w:rPr>
  </w:style>
  <w:style w:type="character" w:styleId="WW8Num3z1" w:customStyle="1">
    <w:name w:val="WW8Num3z1"/>
    <w:qFormat/>
    <w:rsid w:val="009e35ba"/>
    <w:rPr>
      <w:rFonts w:ascii="Courier New" w:hAnsi="Courier New"/>
      <w:sz w:val="20"/>
    </w:rPr>
  </w:style>
  <w:style w:type="character" w:styleId="WW8Num3z2" w:customStyle="1">
    <w:name w:val="WW8Num3z2"/>
    <w:qFormat/>
    <w:rsid w:val="009e35ba"/>
    <w:rPr>
      <w:rFonts w:ascii="Wingdings" w:hAnsi="Wingdings"/>
      <w:sz w:val="20"/>
    </w:rPr>
  </w:style>
  <w:style w:type="character" w:styleId="AbsatzStandardschriftart" w:customStyle="1">
    <w:name w:val="Absatz-Standardschriftart"/>
    <w:qFormat/>
    <w:rsid w:val="009e35ba"/>
    <w:rPr/>
  </w:style>
  <w:style w:type="character" w:styleId="WWAbsatzStandardschriftart" w:customStyle="1">
    <w:name w:val="WW-Absatz-Standardschriftart"/>
    <w:qFormat/>
    <w:rsid w:val="009e35ba"/>
    <w:rPr/>
  </w:style>
  <w:style w:type="character" w:styleId="WWAbsatzStandardschriftart1" w:customStyle="1">
    <w:name w:val="WW-Absatz-Standardschriftart1"/>
    <w:qFormat/>
    <w:rsid w:val="009e35ba"/>
    <w:rPr/>
  </w:style>
  <w:style w:type="character" w:styleId="WWAbsatzStandardschriftart11" w:customStyle="1">
    <w:name w:val="WW-Absatz-Standardschriftart11"/>
    <w:qFormat/>
    <w:rsid w:val="009e35ba"/>
    <w:rPr/>
  </w:style>
  <w:style w:type="character" w:styleId="WW8Num1z0" w:customStyle="1">
    <w:name w:val="WW8Num1z0"/>
    <w:qFormat/>
    <w:rsid w:val="009e35ba"/>
    <w:rPr>
      <w:rFonts w:ascii="Symbol" w:hAnsi="Symbol"/>
      <w:sz w:val="20"/>
    </w:rPr>
  </w:style>
  <w:style w:type="character" w:styleId="WW8Num1z1" w:customStyle="1">
    <w:name w:val="WW8Num1z1"/>
    <w:qFormat/>
    <w:rsid w:val="009e35ba"/>
    <w:rPr>
      <w:rFonts w:ascii="Courier New" w:hAnsi="Courier New"/>
      <w:sz w:val="20"/>
    </w:rPr>
  </w:style>
  <w:style w:type="character" w:styleId="WW8Num1z2" w:customStyle="1">
    <w:name w:val="WW8Num1z2"/>
    <w:qFormat/>
    <w:rsid w:val="009e35ba"/>
    <w:rPr>
      <w:rFonts w:ascii="Wingdings" w:hAnsi="Wingdings"/>
      <w:sz w:val="20"/>
    </w:rPr>
  </w:style>
  <w:style w:type="character" w:styleId="1" w:customStyle="1">
    <w:name w:val="Основной шрифт абзаца1"/>
    <w:qFormat/>
    <w:rsid w:val="009e35ba"/>
    <w:rPr/>
  </w:style>
  <w:style w:type="character" w:styleId="21" w:customStyle="1">
    <w:name w:val="Заголовок 2 Знак"/>
    <w:basedOn w:val="1"/>
    <w:qFormat/>
    <w:rsid w:val="009e35b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1"/>
    <w:rsid w:val="009e35b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4">
    <w:name w:val="Символ нумерации"/>
    <w:qFormat/>
    <w:rPr/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Symbol"/>
      <w:sz w:val="28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8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Symbol"/>
      <w:sz w:val="28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Symbol"/>
      <w:sz w:val="28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cs="Symbol"/>
      <w:sz w:val="28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cs="Symbol"/>
      <w:sz w:val="28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Symbol"/>
      <w:sz w:val="28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Symbol"/>
      <w:sz w:val="28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cs="Symbol"/>
      <w:sz w:val="28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cs="Symbol"/>
      <w:sz w:val="28"/>
    </w:rPr>
  </w:style>
  <w:style w:type="character" w:styleId="ListLabel344">
    <w:name w:val="ListLabel 344"/>
    <w:qFormat/>
    <w:rPr>
      <w:rFonts w:cs="Courier New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cs="Wingdings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cs="Symbol"/>
      <w:sz w:val="28"/>
    </w:rPr>
  </w:style>
  <w:style w:type="character" w:styleId="ListLabel353">
    <w:name w:val="ListLabel 353"/>
    <w:qFormat/>
    <w:rPr>
      <w:rFonts w:cs="Courier New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Wingdings"/>
      <w:sz w:val="20"/>
    </w:rPr>
  </w:style>
  <w:style w:type="character" w:styleId="ListLabel356">
    <w:name w:val="ListLabel 356"/>
    <w:qFormat/>
    <w:rPr>
      <w:rFonts w:cs="Wingdings"/>
      <w:sz w:val="20"/>
    </w:rPr>
  </w:style>
  <w:style w:type="character" w:styleId="ListLabel357">
    <w:name w:val="ListLabel 357"/>
    <w:qFormat/>
    <w:rPr>
      <w:rFonts w:cs="Wingdings"/>
      <w:sz w:val="20"/>
    </w:rPr>
  </w:style>
  <w:style w:type="character" w:styleId="ListLabel358">
    <w:name w:val="ListLabel 358"/>
    <w:qFormat/>
    <w:rPr>
      <w:rFonts w:cs="Wingdings"/>
      <w:sz w:val="20"/>
    </w:rPr>
  </w:style>
  <w:style w:type="character" w:styleId="ListLabel359">
    <w:name w:val="ListLabel 359"/>
    <w:qFormat/>
    <w:rPr>
      <w:rFonts w:cs="Wingdings"/>
      <w:sz w:val="20"/>
    </w:rPr>
  </w:style>
  <w:style w:type="character" w:styleId="ListLabel360">
    <w:name w:val="ListLabel 360"/>
    <w:qFormat/>
    <w:rPr>
      <w:rFonts w:cs="Wingdings"/>
      <w:sz w:val="20"/>
    </w:rPr>
  </w:style>
  <w:style w:type="character" w:styleId="ListLabel361">
    <w:name w:val="ListLabel 361"/>
    <w:qFormat/>
    <w:rPr>
      <w:rFonts w:cs="Symbol"/>
      <w:sz w:val="28"/>
    </w:rPr>
  </w:style>
  <w:style w:type="character" w:styleId="ListLabel362">
    <w:name w:val="ListLabel 362"/>
    <w:qFormat/>
    <w:rPr>
      <w:rFonts w:cs="Courier New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cs="Symbol"/>
      <w:sz w:val="28"/>
    </w:rPr>
  </w:style>
  <w:style w:type="character" w:styleId="ListLabel371">
    <w:name w:val="ListLabel 371"/>
    <w:qFormat/>
    <w:rPr>
      <w:rFonts w:cs="Courier New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Wingdings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cs="Symbol"/>
      <w:sz w:val="28"/>
    </w:rPr>
  </w:style>
  <w:style w:type="character" w:styleId="ListLabel380">
    <w:name w:val="ListLabel 380"/>
    <w:qFormat/>
    <w:rPr>
      <w:rFonts w:cs="Courier New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cs="Wingdings"/>
      <w:sz w:val="20"/>
    </w:rPr>
  </w:style>
  <w:style w:type="character" w:styleId="ListLabel383">
    <w:name w:val="ListLabel 383"/>
    <w:qFormat/>
    <w:rPr>
      <w:rFonts w:cs="Wingdings"/>
      <w:sz w:val="20"/>
    </w:rPr>
  </w:style>
  <w:style w:type="character" w:styleId="ListLabel384">
    <w:name w:val="ListLabel 384"/>
    <w:qFormat/>
    <w:rPr>
      <w:rFonts w:cs="Wingdings"/>
      <w:sz w:val="20"/>
    </w:rPr>
  </w:style>
  <w:style w:type="character" w:styleId="ListLabel385">
    <w:name w:val="ListLabel 385"/>
    <w:qFormat/>
    <w:rPr>
      <w:rFonts w:cs="Wingdings"/>
      <w:sz w:val="20"/>
    </w:rPr>
  </w:style>
  <w:style w:type="character" w:styleId="ListLabel386">
    <w:name w:val="ListLabel 386"/>
    <w:qFormat/>
    <w:rPr>
      <w:rFonts w:cs="Wingdings"/>
      <w:sz w:val="20"/>
    </w:rPr>
  </w:style>
  <w:style w:type="character" w:styleId="ListLabel387">
    <w:name w:val="ListLabel 387"/>
    <w:qFormat/>
    <w:rPr>
      <w:rFonts w:cs="Wingdings"/>
      <w:sz w:val="20"/>
    </w:rPr>
  </w:style>
  <w:style w:type="character" w:styleId="ListLabel388">
    <w:name w:val="ListLabel 388"/>
    <w:qFormat/>
    <w:rPr>
      <w:rFonts w:cs="Symbol"/>
      <w:sz w:val="28"/>
    </w:rPr>
  </w:style>
  <w:style w:type="character" w:styleId="ListLabel389">
    <w:name w:val="ListLabel 389"/>
    <w:qFormat/>
    <w:rPr>
      <w:rFonts w:cs="Courier New"/>
      <w:sz w:val="20"/>
    </w:rPr>
  </w:style>
  <w:style w:type="character" w:styleId="ListLabel390">
    <w:name w:val="ListLabel 390"/>
    <w:qFormat/>
    <w:rPr>
      <w:rFonts w:cs="Wingdings"/>
      <w:sz w:val="20"/>
    </w:rPr>
  </w:style>
  <w:style w:type="character" w:styleId="ListLabel391">
    <w:name w:val="ListLabel 391"/>
    <w:qFormat/>
    <w:rPr>
      <w:rFonts w:cs="Wingdings"/>
      <w:sz w:val="20"/>
    </w:rPr>
  </w:style>
  <w:style w:type="character" w:styleId="ListLabel392">
    <w:name w:val="ListLabel 392"/>
    <w:qFormat/>
    <w:rPr>
      <w:rFonts w:cs="Wingdings"/>
      <w:sz w:val="20"/>
    </w:rPr>
  </w:style>
  <w:style w:type="character" w:styleId="ListLabel393">
    <w:name w:val="ListLabel 393"/>
    <w:qFormat/>
    <w:rPr>
      <w:rFonts w:cs="Wingdings"/>
      <w:sz w:val="20"/>
    </w:rPr>
  </w:style>
  <w:style w:type="character" w:styleId="ListLabel394">
    <w:name w:val="ListLabel 394"/>
    <w:qFormat/>
    <w:rPr>
      <w:rFonts w:cs="Wingdings"/>
      <w:sz w:val="20"/>
    </w:rPr>
  </w:style>
  <w:style w:type="character" w:styleId="ListLabel395">
    <w:name w:val="ListLabel 395"/>
    <w:qFormat/>
    <w:rPr>
      <w:rFonts w:cs="Wingdings"/>
      <w:sz w:val="20"/>
    </w:rPr>
  </w:style>
  <w:style w:type="character" w:styleId="ListLabel396">
    <w:name w:val="ListLabel 396"/>
    <w:qFormat/>
    <w:rPr>
      <w:rFonts w:cs="Wingdings"/>
      <w:sz w:val="20"/>
    </w:rPr>
  </w:style>
  <w:style w:type="character" w:styleId="ListLabel397">
    <w:name w:val="ListLabel 397"/>
    <w:qFormat/>
    <w:rPr>
      <w:rFonts w:cs="Symbol"/>
      <w:sz w:val="28"/>
    </w:rPr>
  </w:style>
  <w:style w:type="character" w:styleId="ListLabel398">
    <w:name w:val="ListLabel 398"/>
    <w:qFormat/>
    <w:rPr>
      <w:rFonts w:cs="Courier New"/>
      <w:sz w:val="20"/>
    </w:rPr>
  </w:style>
  <w:style w:type="character" w:styleId="ListLabel399">
    <w:name w:val="ListLabel 399"/>
    <w:qFormat/>
    <w:rPr>
      <w:rFonts w:cs="Wingdings"/>
      <w:sz w:val="20"/>
    </w:rPr>
  </w:style>
  <w:style w:type="character" w:styleId="ListLabel400">
    <w:name w:val="ListLabel 400"/>
    <w:qFormat/>
    <w:rPr>
      <w:rFonts w:cs="Wingdings"/>
      <w:sz w:val="20"/>
    </w:rPr>
  </w:style>
  <w:style w:type="character" w:styleId="ListLabel401">
    <w:name w:val="ListLabel 401"/>
    <w:qFormat/>
    <w:rPr>
      <w:rFonts w:cs="Wingdings"/>
      <w:sz w:val="20"/>
    </w:rPr>
  </w:style>
  <w:style w:type="character" w:styleId="ListLabel402">
    <w:name w:val="ListLabel 402"/>
    <w:qFormat/>
    <w:rPr>
      <w:rFonts w:cs="Wingdings"/>
      <w:sz w:val="20"/>
    </w:rPr>
  </w:style>
  <w:style w:type="character" w:styleId="ListLabel403">
    <w:name w:val="ListLabel 403"/>
    <w:qFormat/>
    <w:rPr>
      <w:rFonts w:cs="Wingdings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cs="Symbol"/>
      <w:sz w:val="28"/>
    </w:rPr>
  </w:style>
  <w:style w:type="character" w:styleId="ListLabel407">
    <w:name w:val="ListLabel 407"/>
    <w:qFormat/>
    <w:rPr>
      <w:rFonts w:cs="Courier New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cs="Wingdings"/>
      <w:sz w:val="20"/>
    </w:rPr>
  </w:style>
  <w:style w:type="character" w:styleId="ListLabel412">
    <w:name w:val="ListLabel 412"/>
    <w:qFormat/>
    <w:rPr>
      <w:rFonts w:cs="Wingdings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cs="Symbol"/>
      <w:sz w:val="28"/>
    </w:rPr>
  </w:style>
  <w:style w:type="character" w:styleId="ListLabel416">
    <w:name w:val="ListLabel 416"/>
    <w:qFormat/>
    <w:rPr>
      <w:rFonts w:cs="Courier New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cs="Wingdings"/>
      <w:sz w:val="20"/>
    </w:rPr>
  </w:style>
  <w:style w:type="character" w:styleId="ListLabel421">
    <w:name w:val="ListLabel 421"/>
    <w:qFormat/>
    <w:rPr>
      <w:rFonts w:cs="Wingdings"/>
      <w:sz w:val="20"/>
    </w:rPr>
  </w:style>
  <w:style w:type="character" w:styleId="ListLabel422">
    <w:name w:val="ListLabel 422"/>
    <w:qFormat/>
    <w:rPr>
      <w:rFonts w:cs="Wingdings"/>
      <w:sz w:val="20"/>
    </w:rPr>
  </w:style>
  <w:style w:type="character" w:styleId="ListLabel423">
    <w:name w:val="ListLabel 423"/>
    <w:qFormat/>
    <w:rPr>
      <w:rFonts w:cs="Wingdings"/>
      <w:sz w:val="20"/>
    </w:rPr>
  </w:style>
  <w:style w:type="character" w:styleId="ListLabel424">
    <w:name w:val="ListLabel 424"/>
    <w:qFormat/>
    <w:rPr>
      <w:rFonts w:cs="Symbol"/>
      <w:sz w:val="28"/>
    </w:rPr>
  </w:style>
  <w:style w:type="character" w:styleId="ListLabel425">
    <w:name w:val="ListLabel 425"/>
    <w:qFormat/>
    <w:rPr>
      <w:rFonts w:cs="Courier New"/>
      <w:sz w:val="20"/>
    </w:rPr>
  </w:style>
  <w:style w:type="character" w:styleId="ListLabel426">
    <w:name w:val="ListLabel 426"/>
    <w:qFormat/>
    <w:rPr>
      <w:rFonts w:cs="Wingdings"/>
      <w:sz w:val="20"/>
    </w:rPr>
  </w:style>
  <w:style w:type="character" w:styleId="ListLabel427">
    <w:name w:val="ListLabel 427"/>
    <w:qFormat/>
    <w:rPr>
      <w:rFonts w:cs="Wingdings"/>
      <w:sz w:val="20"/>
    </w:rPr>
  </w:style>
  <w:style w:type="character" w:styleId="ListLabel428">
    <w:name w:val="ListLabel 428"/>
    <w:qFormat/>
    <w:rPr>
      <w:rFonts w:cs="Wingdings"/>
      <w:sz w:val="20"/>
    </w:rPr>
  </w:style>
  <w:style w:type="character" w:styleId="ListLabel429">
    <w:name w:val="ListLabel 429"/>
    <w:qFormat/>
    <w:rPr>
      <w:rFonts w:cs="Wingdings"/>
      <w:sz w:val="20"/>
    </w:rPr>
  </w:style>
  <w:style w:type="character" w:styleId="ListLabel430">
    <w:name w:val="ListLabel 430"/>
    <w:qFormat/>
    <w:rPr>
      <w:rFonts w:cs="Wingdings"/>
      <w:sz w:val="20"/>
    </w:rPr>
  </w:style>
  <w:style w:type="character" w:styleId="ListLabel431">
    <w:name w:val="ListLabel 431"/>
    <w:qFormat/>
    <w:rPr>
      <w:rFonts w:cs="Wingdings"/>
      <w:sz w:val="20"/>
    </w:rPr>
  </w:style>
  <w:style w:type="character" w:styleId="ListLabel432">
    <w:name w:val="ListLabel 432"/>
    <w:qFormat/>
    <w:rPr>
      <w:rFonts w:cs="Wingdings"/>
      <w:sz w:val="20"/>
    </w:rPr>
  </w:style>
  <w:style w:type="character" w:styleId="ListLabel433">
    <w:name w:val="ListLabel 433"/>
    <w:qFormat/>
    <w:rPr>
      <w:rFonts w:cs="Symbol"/>
      <w:sz w:val="28"/>
    </w:rPr>
  </w:style>
  <w:style w:type="character" w:styleId="ListLabel434">
    <w:name w:val="ListLabel 434"/>
    <w:qFormat/>
    <w:rPr>
      <w:rFonts w:cs="Courier New"/>
      <w:sz w:val="20"/>
    </w:rPr>
  </w:style>
  <w:style w:type="character" w:styleId="ListLabel435">
    <w:name w:val="ListLabel 435"/>
    <w:qFormat/>
    <w:rPr>
      <w:rFonts w:cs="Wingdings"/>
      <w:sz w:val="20"/>
    </w:rPr>
  </w:style>
  <w:style w:type="character" w:styleId="ListLabel436">
    <w:name w:val="ListLabel 436"/>
    <w:qFormat/>
    <w:rPr>
      <w:rFonts w:cs="Wingdings"/>
      <w:sz w:val="20"/>
    </w:rPr>
  </w:style>
  <w:style w:type="character" w:styleId="ListLabel437">
    <w:name w:val="ListLabel 437"/>
    <w:qFormat/>
    <w:rPr>
      <w:rFonts w:cs="Wingdings"/>
      <w:sz w:val="20"/>
    </w:rPr>
  </w:style>
  <w:style w:type="character" w:styleId="ListLabel438">
    <w:name w:val="ListLabel 438"/>
    <w:qFormat/>
    <w:rPr>
      <w:rFonts w:cs="Wingdings"/>
      <w:sz w:val="20"/>
    </w:rPr>
  </w:style>
  <w:style w:type="character" w:styleId="ListLabel439">
    <w:name w:val="ListLabel 439"/>
    <w:qFormat/>
    <w:rPr>
      <w:rFonts w:cs="Wingdings"/>
      <w:sz w:val="20"/>
    </w:rPr>
  </w:style>
  <w:style w:type="character" w:styleId="ListLabel440">
    <w:name w:val="ListLabel 440"/>
    <w:qFormat/>
    <w:rPr>
      <w:rFonts w:cs="Wingdings"/>
      <w:sz w:val="20"/>
    </w:rPr>
  </w:style>
  <w:style w:type="character" w:styleId="ListLabel441">
    <w:name w:val="ListLabel 441"/>
    <w:qFormat/>
    <w:rPr>
      <w:rFonts w:cs="Wingdings"/>
      <w:sz w:val="20"/>
    </w:rPr>
  </w:style>
  <w:style w:type="character" w:styleId="ListLabel442">
    <w:name w:val="ListLabel 442"/>
    <w:qFormat/>
    <w:rPr>
      <w:rFonts w:cs="Symbol"/>
      <w:sz w:val="28"/>
    </w:rPr>
  </w:style>
  <w:style w:type="character" w:styleId="ListLabel443">
    <w:name w:val="ListLabel 443"/>
    <w:qFormat/>
    <w:rPr>
      <w:rFonts w:cs="Courier New"/>
      <w:sz w:val="20"/>
    </w:rPr>
  </w:style>
  <w:style w:type="character" w:styleId="ListLabel444">
    <w:name w:val="ListLabel 444"/>
    <w:qFormat/>
    <w:rPr>
      <w:rFonts w:cs="Wingdings"/>
      <w:sz w:val="20"/>
    </w:rPr>
  </w:style>
  <w:style w:type="character" w:styleId="ListLabel445">
    <w:name w:val="ListLabel 445"/>
    <w:qFormat/>
    <w:rPr>
      <w:rFonts w:cs="Wingdings"/>
      <w:sz w:val="20"/>
    </w:rPr>
  </w:style>
  <w:style w:type="character" w:styleId="ListLabel446">
    <w:name w:val="ListLabel 446"/>
    <w:qFormat/>
    <w:rPr>
      <w:rFonts w:cs="Wingdings"/>
      <w:sz w:val="20"/>
    </w:rPr>
  </w:style>
  <w:style w:type="character" w:styleId="ListLabel447">
    <w:name w:val="ListLabel 447"/>
    <w:qFormat/>
    <w:rPr>
      <w:rFonts w:cs="Wingdings"/>
      <w:sz w:val="20"/>
    </w:rPr>
  </w:style>
  <w:style w:type="character" w:styleId="ListLabel448">
    <w:name w:val="ListLabel 448"/>
    <w:qFormat/>
    <w:rPr>
      <w:rFonts w:cs="Wingdings"/>
      <w:sz w:val="20"/>
    </w:rPr>
  </w:style>
  <w:style w:type="character" w:styleId="ListLabel449">
    <w:name w:val="ListLabel 449"/>
    <w:qFormat/>
    <w:rPr>
      <w:rFonts w:cs="Wingdings"/>
      <w:sz w:val="20"/>
    </w:rPr>
  </w:style>
  <w:style w:type="character" w:styleId="ListLabel450">
    <w:name w:val="ListLabel 450"/>
    <w:qFormat/>
    <w:rPr>
      <w:rFonts w:cs="Wingdings"/>
      <w:sz w:val="20"/>
    </w:rPr>
  </w:style>
  <w:style w:type="character" w:styleId="ListLabel451">
    <w:name w:val="ListLabel 451"/>
    <w:qFormat/>
    <w:rPr>
      <w:rFonts w:cs="Symbol"/>
      <w:sz w:val="28"/>
    </w:rPr>
  </w:style>
  <w:style w:type="character" w:styleId="ListLabel452">
    <w:name w:val="ListLabel 452"/>
    <w:qFormat/>
    <w:rPr>
      <w:rFonts w:cs="Courier New"/>
      <w:sz w:val="20"/>
    </w:rPr>
  </w:style>
  <w:style w:type="character" w:styleId="ListLabel453">
    <w:name w:val="ListLabel 453"/>
    <w:qFormat/>
    <w:rPr>
      <w:rFonts w:cs="Wingdings"/>
      <w:sz w:val="20"/>
    </w:rPr>
  </w:style>
  <w:style w:type="character" w:styleId="ListLabel454">
    <w:name w:val="ListLabel 454"/>
    <w:qFormat/>
    <w:rPr>
      <w:rFonts w:cs="Wingdings"/>
      <w:sz w:val="20"/>
    </w:rPr>
  </w:style>
  <w:style w:type="character" w:styleId="ListLabel455">
    <w:name w:val="ListLabel 455"/>
    <w:qFormat/>
    <w:rPr>
      <w:rFonts w:cs="Wingdings"/>
      <w:sz w:val="20"/>
    </w:rPr>
  </w:style>
  <w:style w:type="character" w:styleId="ListLabel456">
    <w:name w:val="ListLabel 456"/>
    <w:qFormat/>
    <w:rPr>
      <w:rFonts w:cs="Wingdings"/>
      <w:sz w:val="20"/>
    </w:rPr>
  </w:style>
  <w:style w:type="character" w:styleId="ListLabel457">
    <w:name w:val="ListLabel 457"/>
    <w:qFormat/>
    <w:rPr>
      <w:rFonts w:cs="Wingdings"/>
      <w:sz w:val="20"/>
    </w:rPr>
  </w:style>
  <w:style w:type="character" w:styleId="ListLabel458">
    <w:name w:val="ListLabel 458"/>
    <w:qFormat/>
    <w:rPr>
      <w:rFonts w:cs="Wingdings"/>
      <w:sz w:val="20"/>
    </w:rPr>
  </w:style>
  <w:style w:type="character" w:styleId="ListLabel459">
    <w:name w:val="ListLabel 459"/>
    <w:qFormat/>
    <w:rPr>
      <w:rFonts w:cs="Wingdings"/>
      <w:sz w:val="20"/>
    </w:rPr>
  </w:style>
  <w:style w:type="character" w:styleId="ListLabel460">
    <w:name w:val="ListLabel 460"/>
    <w:qFormat/>
    <w:rPr>
      <w:rFonts w:cs="Symbol"/>
      <w:sz w:val="28"/>
    </w:rPr>
  </w:style>
  <w:style w:type="character" w:styleId="ListLabel461">
    <w:name w:val="ListLabel 461"/>
    <w:qFormat/>
    <w:rPr>
      <w:rFonts w:cs="Courier New"/>
      <w:sz w:val="20"/>
    </w:rPr>
  </w:style>
  <w:style w:type="character" w:styleId="ListLabel462">
    <w:name w:val="ListLabel 462"/>
    <w:qFormat/>
    <w:rPr>
      <w:rFonts w:cs="Wingdings"/>
      <w:sz w:val="20"/>
    </w:rPr>
  </w:style>
  <w:style w:type="character" w:styleId="ListLabel463">
    <w:name w:val="ListLabel 463"/>
    <w:qFormat/>
    <w:rPr>
      <w:rFonts w:cs="Wingdings"/>
      <w:sz w:val="20"/>
    </w:rPr>
  </w:style>
  <w:style w:type="character" w:styleId="ListLabel464">
    <w:name w:val="ListLabel 464"/>
    <w:qFormat/>
    <w:rPr>
      <w:rFonts w:cs="Wingdings"/>
      <w:sz w:val="20"/>
    </w:rPr>
  </w:style>
  <w:style w:type="character" w:styleId="ListLabel465">
    <w:name w:val="ListLabel 465"/>
    <w:qFormat/>
    <w:rPr>
      <w:rFonts w:cs="Wingdings"/>
      <w:sz w:val="20"/>
    </w:rPr>
  </w:style>
  <w:style w:type="character" w:styleId="ListLabel466">
    <w:name w:val="ListLabel 466"/>
    <w:qFormat/>
    <w:rPr>
      <w:rFonts w:cs="Wingdings"/>
      <w:sz w:val="20"/>
    </w:rPr>
  </w:style>
  <w:style w:type="character" w:styleId="ListLabel467">
    <w:name w:val="ListLabel 467"/>
    <w:qFormat/>
    <w:rPr>
      <w:rFonts w:cs="Wingdings"/>
      <w:sz w:val="20"/>
    </w:rPr>
  </w:style>
  <w:style w:type="character" w:styleId="ListLabel468">
    <w:name w:val="ListLabel 468"/>
    <w:qFormat/>
    <w:rPr>
      <w:rFonts w:cs="Wingdings"/>
      <w:sz w:val="20"/>
    </w:rPr>
  </w:style>
  <w:style w:type="character" w:styleId="ListLabel469">
    <w:name w:val="ListLabel 469"/>
    <w:qFormat/>
    <w:rPr>
      <w:rFonts w:cs="Symbol"/>
      <w:sz w:val="28"/>
    </w:rPr>
  </w:style>
  <w:style w:type="character" w:styleId="ListLabel470">
    <w:name w:val="ListLabel 470"/>
    <w:qFormat/>
    <w:rPr>
      <w:rFonts w:cs="Courier New"/>
      <w:sz w:val="20"/>
    </w:rPr>
  </w:style>
  <w:style w:type="character" w:styleId="ListLabel471">
    <w:name w:val="ListLabel 471"/>
    <w:qFormat/>
    <w:rPr>
      <w:rFonts w:cs="Wingdings"/>
      <w:sz w:val="20"/>
    </w:rPr>
  </w:style>
  <w:style w:type="character" w:styleId="ListLabel472">
    <w:name w:val="ListLabel 472"/>
    <w:qFormat/>
    <w:rPr>
      <w:rFonts w:cs="Wingdings"/>
      <w:sz w:val="20"/>
    </w:rPr>
  </w:style>
  <w:style w:type="character" w:styleId="ListLabel473">
    <w:name w:val="ListLabel 473"/>
    <w:qFormat/>
    <w:rPr>
      <w:rFonts w:cs="Wingdings"/>
      <w:sz w:val="20"/>
    </w:rPr>
  </w:style>
  <w:style w:type="character" w:styleId="ListLabel474">
    <w:name w:val="ListLabel 474"/>
    <w:qFormat/>
    <w:rPr>
      <w:rFonts w:cs="Wingdings"/>
      <w:sz w:val="20"/>
    </w:rPr>
  </w:style>
  <w:style w:type="character" w:styleId="ListLabel475">
    <w:name w:val="ListLabel 475"/>
    <w:qFormat/>
    <w:rPr>
      <w:rFonts w:cs="Wingdings"/>
      <w:sz w:val="20"/>
    </w:rPr>
  </w:style>
  <w:style w:type="character" w:styleId="ListLabel476">
    <w:name w:val="ListLabel 476"/>
    <w:qFormat/>
    <w:rPr>
      <w:rFonts w:cs="Wingdings"/>
      <w:sz w:val="20"/>
    </w:rPr>
  </w:style>
  <w:style w:type="character" w:styleId="ListLabel477">
    <w:name w:val="ListLabel 477"/>
    <w:qFormat/>
    <w:rPr>
      <w:rFonts w:cs="Wingdings"/>
      <w:sz w:val="20"/>
    </w:rPr>
  </w:style>
  <w:style w:type="character" w:styleId="ListLabel478">
    <w:name w:val="ListLabel 478"/>
    <w:qFormat/>
    <w:rPr>
      <w:rFonts w:cs="Symbol"/>
      <w:sz w:val="28"/>
    </w:rPr>
  </w:style>
  <w:style w:type="character" w:styleId="ListLabel479">
    <w:name w:val="ListLabel 479"/>
    <w:qFormat/>
    <w:rPr>
      <w:rFonts w:cs="Courier New"/>
      <w:sz w:val="20"/>
    </w:rPr>
  </w:style>
  <w:style w:type="character" w:styleId="ListLabel480">
    <w:name w:val="ListLabel 480"/>
    <w:qFormat/>
    <w:rPr>
      <w:rFonts w:cs="Wingdings"/>
      <w:sz w:val="20"/>
    </w:rPr>
  </w:style>
  <w:style w:type="character" w:styleId="ListLabel481">
    <w:name w:val="ListLabel 481"/>
    <w:qFormat/>
    <w:rPr>
      <w:rFonts w:cs="Wingdings"/>
      <w:sz w:val="20"/>
    </w:rPr>
  </w:style>
  <w:style w:type="character" w:styleId="ListLabel482">
    <w:name w:val="ListLabel 482"/>
    <w:qFormat/>
    <w:rPr>
      <w:rFonts w:cs="Wingdings"/>
      <w:sz w:val="20"/>
    </w:rPr>
  </w:style>
  <w:style w:type="character" w:styleId="ListLabel483">
    <w:name w:val="ListLabel 483"/>
    <w:qFormat/>
    <w:rPr>
      <w:rFonts w:cs="Wingdings"/>
      <w:sz w:val="20"/>
    </w:rPr>
  </w:style>
  <w:style w:type="character" w:styleId="ListLabel484">
    <w:name w:val="ListLabel 484"/>
    <w:qFormat/>
    <w:rPr>
      <w:rFonts w:cs="Wingdings"/>
      <w:sz w:val="20"/>
    </w:rPr>
  </w:style>
  <w:style w:type="character" w:styleId="ListLabel485">
    <w:name w:val="ListLabel 485"/>
    <w:qFormat/>
    <w:rPr>
      <w:rFonts w:cs="Wingdings"/>
      <w:sz w:val="20"/>
    </w:rPr>
  </w:style>
  <w:style w:type="character" w:styleId="ListLabel486">
    <w:name w:val="ListLabel 486"/>
    <w:qFormat/>
    <w:rPr>
      <w:rFonts w:cs="Wingdings"/>
      <w:sz w:val="20"/>
    </w:rPr>
  </w:style>
  <w:style w:type="character" w:styleId="ListLabel487">
    <w:name w:val="ListLabel 487"/>
    <w:qFormat/>
    <w:rPr>
      <w:rFonts w:cs="Symbol"/>
      <w:sz w:val="28"/>
    </w:rPr>
  </w:style>
  <w:style w:type="character" w:styleId="ListLabel488">
    <w:name w:val="ListLabel 488"/>
    <w:qFormat/>
    <w:rPr>
      <w:rFonts w:cs="Courier New"/>
      <w:sz w:val="20"/>
    </w:rPr>
  </w:style>
  <w:style w:type="character" w:styleId="ListLabel489">
    <w:name w:val="ListLabel 489"/>
    <w:qFormat/>
    <w:rPr>
      <w:rFonts w:cs="Wingdings"/>
      <w:sz w:val="20"/>
    </w:rPr>
  </w:style>
  <w:style w:type="character" w:styleId="ListLabel490">
    <w:name w:val="ListLabel 490"/>
    <w:qFormat/>
    <w:rPr>
      <w:rFonts w:cs="Wingdings"/>
      <w:sz w:val="20"/>
    </w:rPr>
  </w:style>
  <w:style w:type="character" w:styleId="ListLabel491">
    <w:name w:val="ListLabel 491"/>
    <w:qFormat/>
    <w:rPr>
      <w:rFonts w:cs="Wingdings"/>
      <w:sz w:val="20"/>
    </w:rPr>
  </w:style>
  <w:style w:type="character" w:styleId="ListLabel492">
    <w:name w:val="ListLabel 492"/>
    <w:qFormat/>
    <w:rPr>
      <w:rFonts w:cs="Wingdings"/>
      <w:sz w:val="20"/>
    </w:rPr>
  </w:style>
  <w:style w:type="character" w:styleId="ListLabel493">
    <w:name w:val="ListLabel 493"/>
    <w:qFormat/>
    <w:rPr>
      <w:rFonts w:cs="Wingdings"/>
      <w:sz w:val="20"/>
    </w:rPr>
  </w:style>
  <w:style w:type="character" w:styleId="ListLabel494">
    <w:name w:val="ListLabel 494"/>
    <w:qFormat/>
    <w:rPr>
      <w:rFonts w:cs="Wingdings"/>
      <w:sz w:val="20"/>
    </w:rPr>
  </w:style>
  <w:style w:type="character" w:styleId="ListLabel495">
    <w:name w:val="ListLabel 495"/>
    <w:qFormat/>
    <w:rPr>
      <w:rFonts w:cs="Wingdings"/>
      <w:sz w:val="20"/>
    </w:rPr>
  </w:style>
  <w:style w:type="character" w:styleId="ListLabel496">
    <w:name w:val="ListLabel 496"/>
    <w:qFormat/>
    <w:rPr>
      <w:rFonts w:cs="Symbol"/>
      <w:sz w:val="28"/>
    </w:rPr>
  </w:style>
  <w:style w:type="character" w:styleId="ListLabel497">
    <w:name w:val="ListLabel 497"/>
    <w:qFormat/>
    <w:rPr>
      <w:rFonts w:cs="Courier New"/>
      <w:sz w:val="20"/>
    </w:rPr>
  </w:style>
  <w:style w:type="character" w:styleId="ListLabel498">
    <w:name w:val="ListLabel 498"/>
    <w:qFormat/>
    <w:rPr>
      <w:rFonts w:cs="Wingdings"/>
      <w:sz w:val="20"/>
    </w:rPr>
  </w:style>
  <w:style w:type="character" w:styleId="ListLabel499">
    <w:name w:val="ListLabel 499"/>
    <w:qFormat/>
    <w:rPr>
      <w:rFonts w:cs="Wingdings"/>
      <w:sz w:val="20"/>
    </w:rPr>
  </w:style>
  <w:style w:type="character" w:styleId="ListLabel500">
    <w:name w:val="ListLabel 500"/>
    <w:qFormat/>
    <w:rPr>
      <w:rFonts w:cs="Wingdings"/>
      <w:sz w:val="20"/>
    </w:rPr>
  </w:style>
  <w:style w:type="character" w:styleId="ListLabel501">
    <w:name w:val="ListLabel 501"/>
    <w:qFormat/>
    <w:rPr>
      <w:rFonts w:cs="Wingdings"/>
      <w:sz w:val="20"/>
    </w:rPr>
  </w:style>
  <w:style w:type="character" w:styleId="ListLabel502">
    <w:name w:val="ListLabel 502"/>
    <w:qFormat/>
    <w:rPr>
      <w:rFonts w:cs="Wingdings"/>
      <w:sz w:val="20"/>
    </w:rPr>
  </w:style>
  <w:style w:type="character" w:styleId="ListLabel503">
    <w:name w:val="ListLabel 503"/>
    <w:qFormat/>
    <w:rPr>
      <w:rFonts w:cs="Wingdings"/>
      <w:sz w:val="20"/>
    </w:rPr>
  </w:style>
  <w:style w:type="character" w:styleId="ListLabel504">
    <w:name w:val="ListLabel 504"/>
    <w:qFormat/>
    <w:rPr>
      <w:rFonts w:cs="Wingdings"/>
      <w:sz w:val="20"/>
    </w:rPr>
  </w:style>
  <w:style w:type="character" w:styleId="ListLabel505">
    <w:name w:val="ListLabel 505"/>
    <w:qFormat/>
    <w:rPr>
      <w:rFonts w:cs="Symbol"/>
      <w:sz w:val="28"/>
    </w:rPr>
  </w:style>
  <w:style w:type="character" w:styleId="ListLabel506">
    <w:name w:val="ListLabel 506"/>
    <w:qFormat/>
    <w:rPr>
      <w:rFonts w:cs="Courier New"/>
      <w:sz w:val="20"/>
    </w:rPr>
  </w:style>
  <w:style w:type="character" w:styleId="ListLabel507">
    <w:name w:val="ListLabel 507"/>
    <w:qFormat/>
    <w:rPr>
      <w:rFonts w:cs="Wingdings"/>
      <w:sz w:val="20"/>
    </w:rPr>
  </w:style>
  <w:style w:type="character" w:styleId="ListLabel508">
    <w:name w:val="ListLabel 508"/>
    <w:qFormat/>
    <w:rPr>
      <w:rFonts w:cs="Wingdings"/>
      <w:sz w:val="20"/>
    </w:rPr>
  </w:style>
  <w:style w:type="character" w:styleId="ListLabel509">
    <w:name w:val="ListLabel 509"/>
    <w:qFormat/>
    <w:rPr>
      <w:rFonts w:cs="Wingdings"/>
      <w:sz w:val="20"/>
    </w:rPr>
  </w:style>
  <w:style w:type="character" w:styleId="ListLabel510">
    <w:name w:val="ListLabel 510"/>
    <w:qFormat/>
    <w:rPr>
      <w:rFonts w:cs="Wingdings"/>
      <w:sz w:val="20"/>
    </w:rPr>
  </w:style>
  <w:style w:type="character" w:styleId="ListLabel511">
    <w:name w:val="ListLabel 511"/>
    <w:qFormat/>
    <w:rPr>
      <w:rFonts w:cs="Wingdings"/>
      <w:sz w:val="20"/>
    </w:rPr>
  </w:style>
  <w:style w:type="character" w:styleId="ListLabel512">
    <w:name w:val="ListLabel 512"/>
    <w:qFormat/>
    <w:rPr>
      <w:rFonts w:cs="Wingdings"/>
      <w:sz w:val="20"/>
    </w:rPr>
  </w:style>
  <w:style w:type="character" w:styleId="ListLabel513">
    <w:name w:val="ListLabel 513"/>
    <w:qFormat/>
    <w:rPr>
      <w:rFonts w:cs="Wingdings"/>
      <w:sz w:val="20"/>
    </w:rPr>
  </w:style>
  <w:style w:type="character" w:styleId="ListLabel514">
    <w:name w:val="ListLabel 514"/>
    <w:qFormat/>
    <w:rPr>
      <w:rFonts w:cs="Symbol"/>
      <w:sz w:val="28"/>
    </w:rPr>
  </w:style>
  <w:style w:type="character" w:styleId="ListLabel515">
    <w:name w:val="ListLabel 515"/>
    <w:qFormat/>
    <w:rPr>
      <w:rFonts w:cs="Courier New"/>
      <w:sz w:val="20"/>
    </w:rPr>
  </w:style>
  <w:style w:type="character" w:styleId="ListLabel516">
    <w:name w:val="ListLabel 516"/>
    <w:qFormat/>
    <w:rPr>
      <w:rFonts w:cs="Wingdings"/>
      <w:sz w:val="20"/>
    </w:rPr>
  </w:style>
  <w:style w:type="character" w:styleId="ListLabel517">
    <w:name w:val="ListLabel 517"/>
    <w:qFormat/>
    <w:rPr>
      <w:rFonts w:cs="Wingdings"/>
      <w:sz w:val="20"/>
    </w:rPr>
  </w:style>
  <w:style w:type="character" w:styleId="ListLabel518">
    <w:name w:val="ListLabel 518"/>
    <w:qFormat/>
    <w:rPr>
      <w:rFonts w:cs="Wingdings"/>
      <w:sz w:val="20"/>
    </w:rPr>
  </w:style>
  <w:style w:type="character" w:styleId="ListLabel519">
    <w:name w:val="ListLabel 519"/>
    <w:qFormat/>
    <w:rPr>
      <w:rFonts w:cs="Wingdings"/>
      <w:sz w:val="20"/>
    </w:rPr>
  </w:style>
  <w:style w:type="character" w:styleId="ListLabel520">
    <w:name w:val="ListLabel 520"/>
    <w:qFormat/>
    <w:rPr>
      <w:rFonts w:cs="Wingdings"/>
      <w:sz w:val="20"/>
    </w:rPr>
  </w:style>
  <w:style w:type="character" w:styleId="ListLabel521">
    <w:name w:val="ListLabel 521"/>
    <w:qFormat/>
    <w:rPr>
      <w:rFonts w:cs="Wingdings"/>
      <w:sz w:val="20"/>
    </w:rPr>
  </w:style>
  <w:style w:type="character" w:styleId="ListLabel522">
    <w:name w:val="ListLabel 522"/>
    <w:qFormat/>
    <w:rPr>
      <w:rFonts w:cs="Wingdings"/>
      <w:sz w:val="20"/>
    </w:rPr>
  </w:style>
  <w:style w:type="paragraph" w:styleId="Style15" w:customStyle="1">
    <w:name w:val="Заголовок"/>
    <w:basedOn w:val="Normal"/>
    <w:next w:val="Style16"/>
    <w:qFormat/>
    <w:rsid w:val="009e35ba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rsid w:val="009e35ba"/>
    <w:pPr>
      <w:spacing w:before="0" w:after="120"/>
    </w:pPr>
    <w:rPr/>
  </w:style>
  <w:style w:type="paragraph" w:styleId="Style17">
    <w:name w:val="List"/>
    <w:basedOn w:val="Style16"/>
    <w:rsid w:val="009e35ba"/>
    <w:pPr/>
    <w:rPr>
      <w:rFonts w:ascii="Arial" w:hAnsi="Arial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Название1"/>
    <w:basedOn w:val="Normal"/>
    <w:qFormat/>
    <w:rsid w:val="009e35b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9e35ba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qFormat/>
    <w:rsid w:val="009e35b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Application>LibreOffice/6.1.3.2$Linux_X86_64 LibreOffice_project/10$Build-2</Application>
  <Pages>1</Pages>
  <Words>300</Words>
  <Characters>1829</Characters>
  <CharactersWithSpaces>2121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2019-12-06T05:45:00Z</dcterms:created>
  <dc:creator>User</dc:creator>
  <dc:description/>
  <dc:language>ru-RU</dc:language>
  <cp:lastModifiedBy/>
  <cp:lastPrinted>2021-06-02T13:31:52Z</cp:lastPrinted>
  <dcterms:modified xsi:type="dcterms:W3CDTF">2023-08-02T16:02:28Z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